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color w:val="999999"/>
          <w:sz w:val="24"/>
          <w:szCs w:val="24"/>
        </w:rPr>
      </w:pPr>
      <w:r>
        <w:rPr>
          <w:color w:val="999999"/>
          <w:sz w:val="24"/>
          <w:szCs w:val="24"/>
        </w:rPr>
      </w:r>
    </w:p>
    <w:p>
      <w:pPr>
        <w:pStyle w:val="Normal"/>
        <w:rPr>
          <w:color w:val="999999"/>
          <w:sz w:val="24"/>
          <w:szCs w:val="24"/>
        </w:rPr>
      </w:pPr>
      <w:r>
        <w:rPr>
          <w:color w:val="999999"/>
          <w:sz w:val="24"/>
          <w:szCs w:val="24"/>
        </w:rPr>
      </w:r>
    </w:p>
    <w:p>
      <w:pPr>
        <w:pStyle w:val="Normal"/>
        <w:rPr>
          <w:color w:val="999999"/>
          <w:sz w:val="24"/>
          <w:szCs w:val="24"/>
        </w:rPr>
      </w:pPr>
      <w:r>
        <w:rPr>
          <w:color w:val="999999"/>
          <w:sz w:val="24"/>
          <w:szCs w:val="24"/>
        </w:rPr>
      </w:r>
    </w:p>
    <w:p>
      <w:pPr>
        <w:pStyle w:val="Normal"/>
        <w:rPr>
          <w:color w:val="999999"/>
          <w:sz w:val="24"/>
          <w:szCs w:val="24"/>
        </w:rPr>
      </w:pPr>
      <w:r>
        <w:rPr>
          <w:color w:val="999999"/>
          <w:sz w:val="24"/>
          <w:szCs w:val="24"/>
        </w:rPr>
      </w:r>
    </w:p>
    <w:p>
      <w:pPr>
        <w:pStyle w:val="Normal"/>
        <w:rPr>
          <w:color w:val="999999"/>
          <w:sz w:val="24"/>
          <w:szCs w:val="24"/>
        </w:rPr>
      </w:pPr>
      <w:r>
        <w:rPr>
          <w:color w:val="999999"/>
          <w:sz w:val="24"/>
          <w:szCs w:val="24"/>
        </w:rPr>
      </w:r>
    </w:p>
    <w:p>
      <w:pPr>
        <w:pStyle w:val="Normal"/>
        <w:rPr>
          <w:color w:val="999999"/>
          <w:sz w:val="24"/>
          <w:szCs w:val="24"/>
        </w:rPr>
      </w:pPr>
      <w:r>
        <w:rPr>
          <w:color w:val="999999"/>
          <w:sz w:val="24"/>
          <w:szCs w:val="24"/>
        </w:rPr>
      </w:r>
    </w:p>
    <w:p>
      <w:pPr>
        <w:pStyle w:val="Normal"/>
        <w:rPr>
          <w:color w:val="999999"/>
          <w:sz w:val="24"/>
          <w:szCs w:val="24"/>
        </w:rPr>
      </w:pPr>
      <w:r>
        <w:rPr>
          <w:color w:val="999999"/>
          <w:sz w:val="24"/>
          <w:szCs w:val="24"/>
        </w:rPr>
      </w:r>
    </w:p>
    <w:p>
      <w:pPr>
        <w:pStyle w:val="Normal"/>
        <w:widowControl/>
        <w:bidi w:val="0"/>
        <w:spacing w:before="0" w:after="200"/>
        <w:ind w:left="1077" w:right="0" w:hanging="0"/>
        <w:jc w:val="left"/>
        <w:rPr/>
      </w:pPr>
      <w:bookmarkStart w:id="0" w:name="_gjdgxs1"/>
      <w:bookmarkEnd w:id="0"/>
      <w:r>
        <w:rPr>
          <w:color w:val="999999"/>
          <w:sz w:val="24"/>
          <w:szCs w:val="24"/>
        </w:rPr>
        <w:t>Клинические рекомендации</w:t>
      </w:r>
      <w:r>
        <w:rPr>
          <w:sz w:val="24"/>
          <w:szCs w:val="24"/>
        </w:rPr>
        <w:t xml:space="preserve"> </w:t>
      </w:r>
    </w:p>
    <w:p>
      <w:pPr>
        <w:pStyle w:val="Normal"/>
        <w:widowControl/>
        <w:bidi w:val="0"/>
        <w:spacing w:lineRule="auto" w:line="360" w:before="0" w:after="200"/>
        <w:ind w:left="1077" w:right="0" w:hanging="0"/>
        <w:jc w:val="both"/>
        <w:rPr>
          <w:rFonts w:eastAsia="Times New Roman"/>
          <w:b/>
          <w:b/>
          <w:sz w:val="36"/>
          <w:szCs w:val="36"/>
        </w:rPr>
      </w:pPr>
      <w:r>
        <w:rPr>
          <w:rFonts w:eastAsia="Times New Roman"/>
          <w:b/>
          <w:sz w:val="36"/>
          <w:szCs w:val="36"/>
        </w:rPr>
        <w:t>Кисты, образовавшиеся в процессе формирования зубов (фолликулярная киста, одонтогенная киста, образовавшаяся в процессе формирования зубов)</w:t>
      </w:r>
    </w:p>
    <w:p>
      <w:pPr>
        <w:pStyle w:val="Normal"/>
        <w:spacing w:lineRule="auto" w:line="360"/>
        <w:jc w:val="both"/>
        <w:rPr>
          <w:rFonts w:eastAsia="Times New Roman"/>
          <w:color w:val="999999"/>
          <w:sz w:val="24"/>
          <w:szCs w:val="24"/>
        </w:rPr>
      </w:pPr>
      <w:r>
        <w:rPr>
          <w:rFonts w:eastAsia="Times New Roman"/>
          <w:color w:val="999999"/>
          <w:sz w:val="24"/>
          <w:szCs w:val="24"/>
        </w:rPr>
      </w:r>
    </w:p>
    <w:p>
      <w:pPr>
        <w:pStyle w:val="Normal"/>
        <w:spacing w:lineRule="auto" w:line="360"/>
        <w:jc w:val="both"/>
        <w:rPr>
          <w:rFonts w:eastAsia="Times New Roman"/>
          <w:color w:val="999999"/>
          <w:sz w:val="24"/>
          <w:szCs w:val="24"/>
        </w:rPr>
      </w:pPr>
      <w:r>
        <w:rPr>
          <w:rFonts w:eastAsia="Times New Roman"/>
          <w:color w:val="999999"/>
          <w:sz w:val="24"/>
          <w:szCs w:val="24"/>
        </w:rPr>
      </w:r>
    </w:p>
    <w:p>
      <w:pPr>
        <w:pStyle w:val="Normal"/>
        <w:spacing w:lineRule="auto" w:line="360"/>
        <w:jc w:val="both"/>
        <w:rPr>
          <w:rFonts w:eastAsia="Times New Roman"/>
          <w:color w:val="999999"/>
          <w:sz w:val="24"/>
          <w:szCs w:val="24"/>
        </w:rPr>
      </w:pPr>
      <w:r>
        <w:rPr>
          <w:rFonts w:eastAsia="Times New Roman"/>
          <w:color w:val="999999"/>
          <w:sz w:val="24"/>
          <w:szCs w:val="24"/>
        </w:rPr>
      </w:r>
    </w:p>
    <w:p>
      <w:pPr>
        <w:pStyle w:val="Normal"/>
        <w:widowControl/>
        <w:bidi w:val="0"/>
        <w:spacing w:lineRule="auto" w:line="360" w:before="0" w:after="200"/>
        <w:ind w:left="0" w:right="5329" w:hanging="0"/>
        <w:jc w:val="right"/>
        <w:rPr/>
      </w:pPr>
      <w:r>
        <w:rPr>
          <w:rFonts w:eastAsia="Times New Roman"/>
          <w:color w:val="999999"/>
          <w:sz w:val="24"/>
          <w:szCs w:val="24"/>
        </w:rPr>
        <w:t>Кодирование по Международной статистической классификации болезней и проблем, связанных со здоровьем:</w:t>
      </w:r>
      <w:r>
        <w:rPr>
          <w:rFonts w:eastAsia="Times New Roman"/>
          <w:sz w:val="24"/>
          <w:szCs w:val="24"/>
        </w:rPr>
        <w:t xml:space="preserve"> К09.00, К09.03, К09.09</w:t>
      </w:r>
    </w:p>
    <w:p>
      <w:pPr>
        <w:pStyle w:val="Normal"/>
        <w:widowControl/>
        <w:bidi w:val="0"/>
        <w:spacing w:lineRule="auto" w:line="360" w:before="0" w:after="200"/>
        <w:ind w:left="0" w:right="5329" w:hanging="0"/>
        <w:jc w:val="right"/>
        <w:rPr/>
      </w:pPr>
      <w:r>
        <w:rPr>
          <w:rFonts w:eastAsia="Times New Roman"/>
          <w:color w:val="999999"/>
          <w:sz w:val="24"/>
          <w:szCs w:val="24"/>
        </w:rPr>
        <w:t>Возрастная категория:</w:t>
      </w:r>
      <w:r>
        <w:rPr>
          <w:rFonts w:eastAsia="Times New Roman"/>
          <w:sz w:val="24"/>
          <w:szCs w:val="24"/>
        </w:rPr>
        <w:t xml:space="preserve"> дети</w:t>
      </w:r>
    </w:p>
    <w:p>
      <w:pPr>
        <w:pStyle w:val="Normal"/>
        <w:widowControl/>
        <w:bidi w:val="0"/>
        <w:spacing w:lineRule="auto" w:line="360" w:before="0" w:after="200"/>
        <w:ind w:left="0" w:right="5329" w:hanging="0"/>
        <w:jc w:val="right"/>
        <w:rPr/>
      </w:pPr>
      <w:r>
        <w:rPr>
          <w:rFonts w:eastAsia="Times New Roman"/>
          <w:color w:val="999999"/>
          <w:sz w:val="24"/>
          <w:szCs w:val="24"/>
        </w:rPr>
        <w:t>Год утверждения:</w:t>
      </w:r>
      <w:r>
        <w:rPr>
          <w:rFonts w:eastAsia="Times New Roman"/>
          <w:sz w:val="24"/>
          <w:szCs w:val="24"/>
        </w:rPr>
        <w:t xml:space="preserve">  </w:t>
      </w:r>
    </w:p>
    <w:p>
      <w:pPr>
        <w:pStyle w:val="Normal"/>
        <w:spacing w:lineRule="auto" w:line="36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</w:r>
    </w:p>
    <w:p>
      <w:pPr>
        <w:pStyle w:val="Normal"/>
        <w:spacing w:lineRule="auto" w:line="360"/>
        <w:jc w:val="both"/>
        <w:rPr/>
      </w:pPr>
      <w:r>
        <w:rPr>
          <w:rFonts w:eastAsia="Times New Roman" w:cs="Times New Roman"/>
          <w:color w:val="999999"/>
          <w:kern w:val="0"/>
          <w:sz w:val="24"/>
          <w:szCs w:val="24"/>
          <w:lang w:val="ru-RU" w:eastAsia="ru-RU" w:bidi="ar-SA"/>
        </w:rPr>
        <w:t>Р</w:t>
      </w:r>
      <w:r>
        <w:rPr>
          <w:rFonts w:eastAsia="Times New Roman"/>
          <w:color w:val="999999"/>
          <w:sz w:val="24"/>
          <w:szCs w:val="24"/>
        </w:rPr>
        <w:t>азработчик клинической рекомендации:</w:t>
      </w:r>
    </w:p>
    <w:p>
      <w:pPr>
        <w:pStyle w:val="Normal"/>
        <w:numPr>
          <w:ilvl w:val="0"/>
          <w:numId w:val="2"/>
        </w:numPr>
        <w:spacing w:lineRule="auto" w:line="360"/>
        <w:ind w:left="0" w:firstLine="708"/>
        <w:jc w:val="both"/>
        <w:rPr>
          <w:rFonts w:eastAsia="Times New Roman"/>
          <w:color w:val="262626"/>
          <w:sz w:val="24"/>
          <w:szCs w:val="24"/>
        </w:rPr>
      </w:pPr>
      <w:r>
        <w:rPr>
          <w:rFonts w:eastAsia="Times New Roman"/>
          <w:color w:val="262626"/>
          <w:sz w:val="24"/>
          <w:szCs w:val="24"/>
        </w:rPr>
        <w:t>Стоматологическая ассоциация России</w:t>
      </w:r>
    </w:p>
    <w:p>
      <w:pPr>
        <w:pStyle w:val="Normal"/>
        <w:spacing w:lineRule="auto" w:line="360"/>
        <w:ind w:left="0" w:firstLine="708"/>
        <w:jc w:val="both"/>
        <w:rPr>
          <w:rFonts w:eastAsia="Times New Roman"/>
          <w:color w:val="262626"/>
          <w:sz w:val="24"/>
          <w:szCs w:val="24"/>
        </w:rPr>
      </w:pPr>
      <w:r>
        <w:rPr>
          <w:rFonts w:eastAsia="Times New Roman"/>
          <w:color w:val="262626"/>
          <w:sz w:val="24"/>
          <w:szCs w:val="24"/>
        </w:rPr>
      </w:r>
    </w:p>
    <w:p>
      <w:pPr>
        <w:pStyle w:val="Normal"/>
        <w:spacing w:lineRule="auto" w:line="360"/>
        <w:ind w:left="0" w:firstLine="708"/>
        <w:jc w:val="center"/>
        <w:rPr>
          <w:rFonts w:eastAsia="Times New Roman"/>
          <w:color w:val="262626"/>
          <w:sz w:val="28"/>
          <w:szCs w:val="28"/>
        </w:rPr>
      </w:pPr>
      <w:bookmarkStart w:id="1" w:name="_Toc49952125"/>
      <w:bookmarkEnd w:id="1"/>
      <w:r>
        <w:rPr>
          <w:rFonts w:eastAsia="Times New Roman"/>
          <w:b/>
          <w:bCs/>
          <w:color w:val="262626"/>
          <w:sz w:val="28"/>
          <w:szCs w:val="28"/>
        </w:rPr>
        <w:t>Оглавление</w:t>
      </w:r>
      <w:bookmarkStart w:id="2" w:name="_4chu7dplny7v"/>
      <w:bookmarkEnd w:id="2"/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11"/>
            <w:rPr/>
          </w:pPr>
          <w:r>
            <w:fldChar w:fldCharType="begin"/>
          </w:r>
          <w:r>
            <w:rPr>
              <w:webHidden/>
              <w:vanish w:val="false"/>
            </w:rPr>
            <w:instrText> TOC \z \o "1-9" \u \h</w:instrText>
          </w:r>
          <w:r>
            <w:rPr>
              <w:webHidden/>
              <w:vanish w:val="false"/>
            </w:rPr>
            <w:fldChar w:fldCharType="separate"/>
          </w:r>
          <w:hyperlink w:anchor="__RefHeading___Toc10497_2770555280">
            <w:r>
              <w:rPr>
                <w:webHidden/>
                <w:vanish w:val="false"/>
              </w:rPr>
              <w:t>Список сокращений</w:t>
              <w:tab/>
              <w:t>4</w:t>
            </w:r>
          </w:hyperlink>
        </w:p>
        <w:p>
          <w:pPr>
            <w:pStyle w:val="11"/>
            <w:rPr/>
          </w:pPr>
          <w:hyperlink w:anchor="__RefHeading___Toc10499_2770555280">
            <w:r>
              <w:rPr>
                <w:webHidden/>
                <w:vanish w:val="false"/>
              </w:rPr>
              <w:t>Термины и определения</w:t>
              <w:tab/>
              <w:t>5</w:t>
            </w:r>
          </w:hyperlink>
        </w:p>
        <w:p>
          <w:pPr>
            <w:pStyle w:val="11"/>
            <w:rPr/>
          </w:pPr>
          <w:hyperlink w:anchor="__RefHeading___Toc10501_2770555280">
            <w:r>
              <w:rPr>
                <w:webHidden/>
                <w:vanish w:val="false"/>
              </w:rPr>
              <w:t>1. Краткая информация по заболеванию или состоянию</w:t>
              <w:tab/>
              <w:t>6</w:t>
            </w:r>
          </w:hyperlink>
        </w:p>
        <w:p>
          <w:pPr>
            <w:pStyle w:val="21"/>
            <w:tabs>
              <w:tab w:val="clear" w:pos="9063"/>
              <w:tab w:val="right" w:pos="9346" w:leader="dot"/>
            </w:tabs>
            <w:rPr/>
          </w:pPr>
          <w:hyperlink w:anchor="__RefHeading___Toc10503_2770555280">
            <w:r>
              <w:rPr>
                <w:webHidden/>
                <w:vanish w:val="false"/>
              </w:rPr>
              <w:t>1.1 Определение заболевания или состояния</w:t>
              <w:tab/>
              <w:t>6</w:t>
            </w:r>
          </w:hyperlink>
        </w:p>
        <w:p>
          <w:pPr>
            <w:pStyle w:val="21"/>
            <w:tabs>
              <w:tab w:val="clear" w:pos="9063"/>
              <w:tab w:val="right" w:pos="9346" w:leader="dot"/>
            </w:tabs>
            <w:rPr/>
          </w:pPr>
          <w:hyperlink w:anchor="__RefHeading___Toc10505_2770555280">
            <w:r>
              <w:rPr>
                <w:webHidden/>
                <w:vanish w:val="false"/>
              </w:rPr>
              <w:t>1.2 Этиология и патогенез заболевания или состояния</w:t>
              <w:tab/>
              <w:t>6</w:t>
            </w:r>
          </w:hyperlink>
        </w:p>
        <w:p>
          <w:pPr>
            <w:pStyle w:val="21"/>
            <w:tabs>
              <w:tab w:val="clear" w:pos="9063"/>
              <w:tab w:val="right" w:pos="9346" w:leader="dot"/>
            </w:tabs>
            <w:rPr/>
          </w:pPr>
          <w:hyperlink w:anchor="__RefHeading___Toc10507_2770555280">
            <w:r>
              <w:rPr>
                <w:webHidden/>
                <w:vanish w:val="false"/>
              </w:rPr>
              <w:t>1.3 Эпидемиология заболевания или состояния</w:t>
              <w:tab/>
              <w:t>6</w:t>
            </w:r>
          </w:hyperlink>
        </w:p>
        <w:p>
          <w:pPr>
            <w:pStyle w:val="21"/>
            <w:tabs>
              <w:tab w:val="clear" w:pos="9063"/>
              <w:tab w:val="right" w:pos="9346" w:leader="dot"/>
            </w:tabs>
            <w:rPr/>
          </w:pPr>
          <w:hyperlink w:anchor="__RefHeading___Toc10509_2770555280">
            <w:r>
              <w:rPr>
                <w:webHidden/>
                <w:vanish w:val="false"/>
              </w:rPr>
              <w:t>1.4 Особенности кодирования заболевания или состояния по Международной статистической классификации болезней и проблем, связанных со здоровьем</w:t>
              <w:tab/>
              <w:t>6</w:t>
            </w:r>
          </w:hyperlink>
        </w:p>
        <w:p>
          <w:pPr>
            <w:pStyle w:val="21"/>
            <w:tabs>
              <w:tab w:val="clear" w:pos="9063"/>
              <w:tab w:val="right" w:pos="9346" w:leader="dot"/>
            </w:tabs>
            <w:rPr/>
          </w:pPr>
          <w:hyperlink w:anchor="__RefHeading___Toc10511_2770555280">
            <w:r>
              <w:rPr>
                <w:webHidden/>
                <w:vanish w:val="false"/>
              </w:rPr>
              <w:t>1.5.1. Классификация заболевания или состояния</w:t>
              <w:tab/>
              <w:t>6</w:t>
            </w:r>
          </w:hyperlink>
        </w:p>
        <w:p>
          <w:pPr>
            <w:pStyle w:val="21"/>
            <w:tabs>
              <w:tab w:val="clear" w:pos="9063"/>
              <w:tab w:val="right" w:pos="9346" w:leader="dot"/>
            </w:tabs>
            <w:rPr/>
          </w:pPr>
          <w:hyperlink w:anchor="__RefHeading___Toc10513_2770555280">
            <w:r>
              <w:rPr>
                <w:webHidden/>
                <w:vanish w:val="false"/>
              </w:rPr>
              <w:t>1.6 Клиническая картина заболевания или состояния</w:t>
              <w:tab/>
              <w:t>7</w:t>
            </w:r>
          </w:hyperlink>
        </w:p>
        <w:p>
          <w:pPr>
            <w:pStyle w:val="11"/>
            <w:rPr/>
          </w:pPr>
          <w:hyperlink w:anchor="__RefHeading___Toc10515_2770555280">
            <w:r>
              <w:rPr>
                <w:webHidden/>
                <w:vanish w:val="false"/>
              </w:rPr>
              <w:t xml:space="preserve"> </w:t>
            </w:r>
            <w:r>
              <w:rPr/>
              <w:t>2. Диагностика заболевания или состояния, медицинские показания и противопоказания к применению методов диагностики</w:t>
              <w:tab/>
              <w:t>7</w:t>
            </w:r>
          </w:hyperlink>
        </w:p>
        <w:p>
          <w:pPr>
            <w:pStyle w:val="21"/>
            <w:tabs>
              <w:tab w:val="clear" w:pos="9063"/>
              <w:tab w:val="right" w:pos="9346" w:leader="dot"/>
            </w:tabs>
            <w:rPr/>
          </w:pPr>
          <w:hyperlink w:anchor="__RefHeading___Toc10517_2770555280">
            <w:r>
              <w:rPr>
                <w:webHidden/>
                <w:vanish w:val="false"/>
              </w:rPr>
              <w:t>2.1 Жалобы и анамнез</w:t>
              <w:tab/>
              <w:t>8</w:t>
            </w:r>
          </w:hyperlink>
        </w:p>
        <w:p>
          <w:pPr>
            <w:pStyle w:val="31"/>
            <w:tabs>
              <w:tab w:val="clear" w:pos="8780"/>
              <w:tab w:val="right" w:pos="9346" w:leader="dot"/>
            </w:tabs>
            <w:rPr/>
          </w:pPr>
          <w:hyperlink w:anchor="__RefHeading___Toc10519_2770555280">
            <w:r>
              <w:rPr>
                <w:webHidden/>
                <w:vanish w:val="false"/>
              </w:rPr>
              <w:t>2.1.1 При сборе анамнеза необходимо учитывать:</w:t>
              <w:tab/>
              <w:t>8</w:t>
            </w:r>
          </w:hyperlink>
        </w:p>
        <w:p>
          <w:pPr>
            <w:pStyle w:val="21"/>
            <w:tabs>
              <w:tab w:val="clear" w:pos="9063"/>
              <w:tab w:val="right" w:pos="9346" w:leader="dot"/>
            </w:tabs>
            <w:rPr/>
          </w:pPr>
          <w:hyperlink w:anchor="__RefHeading___Toc10521_2770555280">
            <w:r>
              <w:rPr>
                <w:webHidden/>
                <w:vanish w:val="false"/>
              </w:rPr>
              <w:t>2.2 Физикальное обследование</w:t>
              <w:tab/>
              <w:t>8</w:t>
            </w:r>
          </w:hyperlink>
        </w:p>
        <w:p>
          <w:pPr>
            <w:pStyle w:val="21"/>
            <w:tabs>
              <w:tab w:val="clear" w:pos="9063"/>
              <w:tab w:val="right" w:pos="9346" w:leader="dot"/>
            </w:tabs>
            <w:rPr/>
          </w:pPr>
          <w:hyperlink w:anchor="__RefHeading___Toc10523_2770555280">
            <w:r>
              <w:rPr>
                <w:webHidden/>
                <w:vanish w:val="false"/>
              </w:rPr>
              <w:t>2.3 Лабораторные диагностические исследования</w:t>
              <w:tab/>
              <w:t>9</w:t>
            </w:r>
          </w:hyperlink>
        </w:p>
        <w:p>
          <w:pPr>
            <w:pStyle w:val="21"/>
            <w:tabs>
              <w:tab w:val="clear" w:pos="9063"/>
              <w:tab w:val="right" w:pos="9346" w:leader="dot"/>
            </w:tabs>
            <w:rPr/>
          </w:pPr>
          <w:hyperlink w:anchor="__RefHeading___Toc10525_2770555280">
            <w:r>
              <w:rPr>
                <w:webHidden/>
                <w:vanish w:val="false"/>
              </w:rPr>
              <w:t>2.4 Инструментальные диагностические исследования</w:t>
              <w:tab/>
              <w:t>9</w:t>
            </w:r>
          </w:hyperlink>
        </w:p>
        <w:p>
          <w:pPr>
            <w:pStyle w:val="21"/>
            <w:tabs>
              <w:tab w:val="clear" w:pos="9063"/>
              <w:tab w:val="right" w:pos="9346" w:leader="dot"/>
            </w:tabs>
            <w:rPr/>
          </w:pPr>
          <w:hyperlink w:anchor="__RefHeading___Toc10527_2770555280">
            <w:r>
              <w:rPr>
                <w:webHidden/>
                <w:vanish w:val="false"/>
              </w:rPr>
              <w:t>2.5 Иные диагностические исследования</w:t>
              <w:tab/>
              <w:t>10</w:t>
            </w:r>
          </w:hyperlink>
        </w:p>
        <w:p>
          <w:pPr>
            <w:pStyle w:val="31"/>
            <w:tabs>
              <w:tab w:val="clear" w:pos="8780"/>
              <w:tab w:val="right" w:pos="9346" w:leader="dot"/>
            </w:tabs>
            <w:rPr/>
          </w:pPr>
          <w:hyperlink w:anchor="__RefHeading___Toc10529_2770555280">
            <w:r>
              <w:rPr>
                <w:webHidden/>
                <w:vanish w:val="false"/>
              </w:rPr>
              <w:t>2.5.1. фото- и видеосъемка с помощью внутриротовой видеокамеры</w:t>
              <w:tab/>
              <w:t>10</w:t>
            </w:r>
          </w:hyperlink>
        </w:p>
        <w:p>
          <w:pPr>
            <w:pStyle w:val="11"/>
            <w:rPr/>
          </w:pPr>
          <w:hyperlink w:anchor="__RefHeading___Toc10531_2770555280">
            <w:r>
              <w:rPr>
                <w:webHidden/>
                <w:vanish w:val="false"/>
              </w:rPr>
              <w:t>3. Лечение, включая медикаментозную и не медикаментозную терапии, диетотерапию, обезболивание, медицинские показания и противопоказания к применению методов лечения</w:t>
              <w:tab/>
              <w:t>10</w:t>
            </w:r>
          </w:hyperlink>
        </w:p>
        <w:p>
          <w:pPr>
            <w:pStyle w:val="21"/>
            <w:tabs>
              <w:tab w:val="clear" w:pos="9063"/>
              <w:tab w:val="right" w:pos="9346" w:leader="dot"/>
            </w:tabs>
            <w:rPr/>
          </w:pPr>
          <w:hyperlink w:anchor="__RefHeading___Toc10533_2770555280">
            <w:r>
              <w:rPr>
                <w:webHidden/>
                <w:vanish w:val="false"/>
              </w:rPr>
              <w:t>3.1 Консервативное лечение</w:t>
              <w:tab/>
              <w:t>10</w:t>
            </w:r>
          </w:hyperlink>
        </w:p>
        <w:p>
          <w:pPr>
            <w:pStyle w:val="21"/>
            <w:tabs>
              <w:tab w:val="clear" w:pos="9063"/>
              <w:tab w:val="right" w:pos="9346" w:leader="dot"/>
            </w:tabs>
            <w:rPr/>
          </w:pPr>
          <w:hyperlink w:anchor="__RefHeading___Toc10535_2770555280">
            <w:r>
              <w:rPr>
                <w:webHidden/>
                <w:vanish w:val="false"/>
              </w:rPr>
              <w:t>3.2 Хирургическое лечение</w:t>
              <w:tab/>
              <w:t>10</w:t>
            </w:r>
          </w:hyperlink>
        </w:p>
        <w:p>
          <w:pPr>
            <w:pStyle w:val="31"/>
            <w:tabs>
              <w:tab w:val="clear" w:pos="8780"/>
              <w:tab w:val="right" w:pos="9346" w:leader="dot"/>
            </w:tabs>
            <w:rPr/>
          </w:pPr>
          <w:hyperlink w:anchor="__RefHeading___Toc10537_2770555280">
            <w:r>
              <w:rPr>
                <w:webHidden/>
                <w:vanish w:val="false"/>
              </w:rPr>
              <w:t>3.2.1. Алгоритм и особенности проведения хирургического вмешательства</w:t>
              <w:tab/>
              <w:t>11</w:t>
            </w:r>
          </w:hyperlink>
        </w:p>
        <w:p>
          <w:pPr>
            <w:pStyle w:val="31"/>
            <w:tabs>
              <w:tab w:val="clear" w:pos="8780"/>
              <w:tab w:val="right" w:pos="9346" w:leader="dot"/>
            </w:tabs>
            <w:rPr/>
          </w:pPr>
          <w:hyperlink w:anchor="__RefHeading___Toc10539_2770555280">
            <w:r>
              <w:rPr>
                <w:webHidden/>
                <w:vanish w:val="false"/>
              </w:rPr>
              <w:t>3.2.2. Осложнения во время операции и послеоперационном периоде</w:t>
              <w:tab/>
              <w:t>11</w:t>
            </w:r>
          </w:hyperlink>
        </w:p>
        <w:p>
          <w:pPr>
            <w:pStyle w:val="11"/>
            <w:rPr/>
          </w:pPr>
          <w:hyperlink w:anchor="__RefHeading___Toc10541_2770555280">
            <w:r>
              <w:rPr>
                <w:webHidden/>
                <w:vanish w:val="false"/>
              </w:rPr>
              <w:t>4. Медицинская реабилитация, медицинские показания и противопоказания к применению методов реабилитации</w:t>
              <w:tab/>
              <w:t>12</w:t>
            </w:r>
          </w:hyperlink>
        </w:p>
        <w:p>
          <w:pPr>
            <w:pStyle w:val="11"/>
            <w:rPr/>
          </w:pPr>
          <w:hyperlink w:anchor="__RefHeading___Toc10543_2770555280">
            <w:r>
              <w:rPr>
                <w:webHidden/>
                <w:vanish w:val="false"/>
              </w:rPr>
              <w:t>5. Профилактика и диспансерное наблюдение, медицинские показания и противопоказания к применению методов профилактики</w:t>
              <w:tab/>
              <w:t>12</w:t>
            </w:r>
          </w:hyperlink>
        </w:p>
        <w:p>
          <w:pPr>
            <w:pStyle w:val="21"/>
            <w:tabs>
              <w:tab w:val="clear" w:pos="9063"/>
              <w:tab w:val="right" w:pos="9346" w:leader="dot"/>
            </w:tabs>
            <w:rPr/>
          </w:pPr>
          <w:hyperlink w:anchor="__RefHeading___Toc10545_2770555280">
            <w:r>
              <w:rPr>
                <w:webHidden/>
                <w:vanish w:val="false"/>
              </w:rPr>
              <w:t>5.1 Профилактика</w:t>
              <w:tab/>
              <w:t>12</w:t>
            </w:r>
          </w:hyperlink>
        </w:p>
        <w:p>
          <w:pPr>
            <w:pStyle w:val="21"/>
            <w:tabs>
              <w:tab w:val="clear" w:pos="9063"/>
              <w:tab w:val="right" w:pos="9346" w:leader="dot"/>
            </w:tabs>
            <w:rPr/>
          </w:pPr>
          <w:hyperlink w:anchor="__RefHeading___Toc10547_2770555280">
            <w:r>
              <w:rPr>
                <w:webHidden/>
                <w:vanish w:val="false"/>
              </w:rPr>
              <w:t>5.2 Диспансеризация</w:t>
              <w:tab/>
              <w:t>13</w:t>
            </w:r>
          </w:hyperlink>
        </w:p>
        <w:p>
          <w:pPr>
            <w:pStyle w:val="11"/>
            <w:rPr/>
          </w:pPr>
          <w:hyperlink w:anchor="__RefHeading___Toc10549_2770555280">
            <w:r>
              <w:rPr>
                <w:webHidden/>
                <w:vanish w:val="false"/>
              </w:rPr>
              <w:t xml:space="preserve"> </w:t>
            </w:r>
            <w:r>
              <w:rPr/>
              <w:t>6. Организация оказания медицинской помощи</w:t>
              <w:tab/>
              <w:t>13</w:t>
            </w:r>
          </w:hyperlink>
        </w:p>
        <w:p>
          <w:pPr>
            <w:pStyle w:val="11"/>
            <w:rPr/>
          </w:pPr>
          <w:hyperlink w:anchor="__RefHeading___Toc10551_2770555280">
            <w:r>
              <w:rPr>
                <w:webHidden/>
                <w:vanish w:val="false"/>
              </w:rPr>
              <w:t>7. Дополнительная информация, влияющая на течение и исход заболевания</w:t>
              <w:tab/>
              <w:t>13</w:t>
            </w:r>
          </w:hyperlink>
        </w:p>
        <w:p>
          <w:pPr>
            <w:pStyle w:val="11"/>
            <w:rPr/>
          </w:pPr>
          <w:hyperlink w:anchor="__RefHeading___Toc10553_2770555280">
            <w:r>
              <w:rPr>
                <w:webHidden/>
                <w:vanish w:val="false"/>
              </w:rPr>
              <w:t>Критерии оценки качества медицинской помощи</w:t>
              <w:tab/>
              <w:t>14</w:t>
            </w:r>
          </w:hyperlink>
        </w:p>
        <w:p>
          <w:pPr>
            <w:pStyle w:val="11"/>
            <w:rPr/>
          </w:pPr>
          <w:hyperlink w:anchor="__RefHeading___Toc10555_2770555280">
            <w:r>
              <w:rPr>
                <w:webHidden/>
                <w:vanish w:val="false"/>
              </w:rPr>
              <w:t>Список литературы</w:t>
              <w:tab/>
              <w:t>16</w:t>
            </w:r>
          </w:hyperlink>
        </w:p>
        <w:p>
          <w:pPr>
            <w:pStyle w:val="11"/>
            <w:rPr/>
          </w:pPr>
          <w:hyperlink w:anchor="__RefHeading___Toc10557_2770555280">
            <w:r>
              <w:rPr>
                <w:webHidden/>
                <w:vanish w:val="false"/>
              </w:rPr>
              <w:t>Приложение А1. Состав рабочей группы по разработке и пересмотру клинических рекомендаций</w:t>
              <w:tab/>
              <w:t>17</w:t>
            </w:r>
          </w:hyperlink>
        </w:p>
        <w:p>
          <w:pPr>
            <w:pStyle w:val="11"/>
            <w:rPr/>
          </w:pPr>
          <w:hyperlink w:anchor="__RefHeading___Toc10559_2770555280">
            <w:r>
              <w:rPr>
                <w:webHidden/>
                <w:vanish w:val="false"/>
              </w:rPr>
              <w:t>Приложение А2. Методология разработки клинических рекомендаций</w:t>
              <w:tab/>
              <w:t>18</w:t>
            </w:r>
          </w:hyperlink>
        </w:p>
        <w:p>
          <w:pPr>
            <w:pStyle w:val="11"/>
            <w:rPr/>
          </w:pPr>
          <w:hyperlink w:anchor="__RefHeading___Toc10561_2770555280">
            <w:r>
              <w:rPr>
                <w:webHidden/>
                <w:vanish w:val="false"/>
              </w:rPr>
              <w:t>Приложение В Информация для пациента</w:t>
              <w:tab/>
              <w:t>21</w:t>
            </w:r>
          </w:hyperlink>
          <w:r>
            <w:rPr>
              <w:vanish w:val="false"/>
            </w:rPr>
            <w:fldChar w:fldCharType="end"/>
          </w:r>
        </w:p>
      </w:sdtContent>
    </w:sdt>
    <w:p>
      <w:pPr>
        <w:pStyle w:val="Normal"/>
        <w:tabs>
          <w:tab w:val="clear" w:pos="709"/>
          <w:tab w:val="right" w:pos="9348" w:leader="none"/>
        </w:tabs>
        <w:spacing w:lineRule="auto" w:line="240" w:before="0" w:after="0"/>
        <w:ind w:left="360" w:hanging="0"/>
        <w:rPr>
          <w:rFonts w:eastAsia="Times New Roman"/>
          <w:color w:val="262626"/>
          <w:sz w:val="24"/>
          <w:szCs w:val="24"/>
        </w:rPr>
      </w:pPr>
      <w:r>
        <w:rPr>
          <w:rFonts w:eastAsia="Times New Roman"/>
          <w:color w:val="262626"/>
          <w:sz w:val="24"/>
          <w:szCs w:val="24"/>
        </w:rPr>
      </w:r>
    </w:p>
    <w:p>
      <w:pPr>
        <w:pStyle w:val="Normal"/>
        <w:spacing w:lineRule="auto" w:line="360"/>
        <w:jc w:val="both"/>
        <w:rPr>
          <w:rFonts w:eastAsia="Times New Roman"/>
          <w:color w:val="262626"/>
          <w:sz w:val="24"/>
          <w:szCs w:val="24"/>
        </w:rPr>
      </w:pPr>
      <w:r>
        <w:rPr>
          <w:rFonts w:eastAsia="Times New Roman"/>
          <w:color w:val="262626"/>
          <w:sz w:val="24"/>
          <w:szCs w:val="24"/>
        </w:rPr>
      </w:r>
    </w:p>
    <w:p>
      <w:pPr>
        <w:pStyle w:val="Normal"/>
        <w:widowControl w:val="false"/>
        <w:spacing w:lineRule="auto" w:line="360" w:before="0" w:after="0"/>
        <w:jc w:val="both"/>
        <w:rPr>
          <w:rFonts w:eastAsia="Times New Roman"/>
          <w:color w:val="00000A"/>
          <w:sz w:val="24"/>
          <w:szCs w:val="24"/>
        </w:rPr>
      </w:pPr>
      <w:r>
        <w:rPr>
          <w:rFonts w:eastAsia="Times New Roman"/>
          <w:color w:val="00000A"/>
          <w:sz w:val="24"/>
          <w:szCs w:val="24"/>
        </w:rPr>
      </w:r>
    </w:p>
    <w:p>
      <w:pPr>
        <w:pStyle w:val="Normal"/>
        <w:widowControl w:val="false"/>
        <w:spacing w:lineRule="auto" w:line="360" w:before="0" w:after="0"/>
        <w:jc w:val="both"/>
        <w:rPr>
          <w:rFonts w:eastAsia="Times New Roman"/>
          <w:color w:val="00000A"/>
          <w:sz w:val="24"/>
          <w:szCs w:val="24"/>
        </w:rPr>
      </w:pPr>
      <w:r>
        <w:rPr>
          <w:rFonts w:eastAsia="Times New Roman"/>
          <w:color w:val="00000A"/>
          <w:sz w:val="24"/>
          <w:szCs w:val="24"/>
        </w:rPr>
      </w:r>
      <w:r>
        <w:br w:type="page"/>
      </w:r>
    </w:p>
    <w:p>
      <w:pPr>
        <w:pStyle w:val="1"/>
        <w:rPr>
          <w:color w:val="000000"/>
        </w:rPr>
      </w:pPr>
      <w:bookmarkStart w:id="3" w:name="__RefHeading___Toc10497_2770555280"/>
      <w:bookmarkStart w:id="4" w:name="_30j0zll"/>
      <w:bookmarkEnd w:id="3"/>
      <w:bookmarkEnd w:id="4"/>
      <w:r>
        <w:rPr>
          <w:color w:val="000000"/>
        </w:rPr>
        <w:t>Список сокращений</w:t>
      </w:r>
    </w:p>
    <w:p>
      <w:pPr>
        <w:pStyle w:val="Normal"/>
        <w:spacing w:lineRule="auto" w:line="360" w:before="0" w:after="0"/>
        <w:jc w:val="both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МКБ 10 - международная классификация болезней 10-го пересмотра</w:t>
      </w:r>
    </w:p>
    <w:p>
      <w:pPr>
        <w:pStyle w:val="Normal"/>
        <w:spacing w:lineRule="auto" w:line="360" w:before="0" w:after="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МКБ-С - Международная классификация стоматологических болезней на основе МКБ-10.</w:t>
      </w:r>
    </w:p>
    <w:p>
      <w:pPr>
        <w:pStyle w:val="Normal"/>
        <w:widowControl w:val="false"/>
        <w:spacing w:lineRule="auto" w:line="360" w:before="0" w:after="0"/>
        <w:jc w:val="both"/>
        <w:rPr>
          <w:rFonts w:eastAsia="Times New Roman"/>
          <w:color w:val="00000A"/>
          <w:sz w:val="24"/>
          <w:szCs w:val="24"/>
        </w:rPr>
      </w:pPr>
      <w:r>
        <w:rPr>
          <w:rFonts w:eastAsia="Times New Roman"/>
          <w:color w:val="00000A"/>
          <w:sz w:val="24"/>
          <w:szCs w:val="24"/>
        </w:rPr>
        <w:t>ЗЧС - зубочелюстная система</w:t>
      </w:r>
    </w:p>
    <w:p>
      <w:pPr>
        <w:pStyle w:val="Normal"/>
        <w:widowControl w:val="false"/>
        <w:spacing w:lineRule="auto" w:line="360" w:before="0" w:after="0"/>
        <w:jc w:val="both"/>
        <w:rPr>
          <w:rFonts w:eastAsia="Times New Roman"/>
          <w:color w:val="00000A"/>
          <w:sz w:val="24"/>
          <w:szCs w:val="24"/>
        </w:rPr>
      </w:pPr>
      <w:r>
        <w:rPr>
          <w:rFonts w:eastAsia="Times New Roman"/>
          <w:color w:val="00000A"/>
          <w:sz w:val="24"/>
          <w:szCs w:val="24"/>
        </w:rPr>
        <w:t>ЗЧА - зубочелюстные аномалии</w:t>
      </w:r>
    </w:p>
    <w:p>
      <w:pPr>
        <w:pStyle w:val="Normal"/>
        <w:widowControl w:val="false"/>
        <w:spacing w:lineRule="auto" w:line="360" w:before="0" w:after="0"/>
        <w:jc w:val="both"/>
        <w:rPr>
          <w:rFonts w:eastAsia="Times New Roman"/>
          <w:color w:val="00000A"/>
          <w:sz w:val="24"/>
          <w:szCs w:val="24"/>
        </w:rPr>
      </w:pPr>
      <w:r>
        <w:rPr>
          <w:rFonts w:eastAsia="Times New Roman"/>
          <w:color w:val="00000A"/>
          <w:sz w:val="24"/>
          <w:szCs w:val="24"/>
        </w:rPr>
        <w:t xml:space="preserve">ЦНС - центральная нервная система </w:t>
      </w:r>
    </w:p>
    <w:p>
      <w:pPr>
        <w:pStyle w:val="Normal"/>
        <w:widowControl w:val="false"/>
        <w:spacing w:lineRule="auto" w:line="360" w:before="0" w:after="0"/>
        <w:jc w:val="both"/>
        <w:rPr>
          <w:rFonts w:eastAsia="Times New Roman"/>
          <w:color w:val="00000A"/>
          <w:sz w:val="24"/>
          <w:szCs w:val="24"/>
        </w:rPr>
      </w:pPr>
      <w:r>
        <w:rPr>
          <w:rFonts w:eastAsia="Times New Roman"/>
          <w:color w:val="00000A"/>
          <w:sz w:val="24"/>
          <w:szCs w:val="24"/>
        </w:rPr>
        <w:t>ЭО - эмалевый орган</w:t>
      </w:r>
    </w:p>
    <w:p>
      <w:pPr>
        <w:pStyle w:val="Normal"/>
        <w:widowControl w:val="false"/>
        <w:spacing w:lineRule="auto" w:line="360" w:before="0" w:after="0"/>
        <w:jc w:val="both"/>
        <w:rPr>
          <w:rFonts w:eastAsia="Times New Roman"/>
          <w:color w:val="00000A"/>
          <w:sz w:val="24"/>
          <w:szCs w:val="24"/>
        </w:rPr>
      </w:pPr>
      <w:r>
        <w:rPr>
          <w:rFonts w:eastAsia="Times New Roman"/>
          <w:color w:val="00000A"/>
          <w:sz w:val="24"/>
          <w:szCs w:val="24"/>
        </w:rPr>
        <w:t>ЗЗ - зачаток зуба</w:t>
      </w:r>
    </w:p>
    <w:p>
      <w:pPr>
        <w:pStyle w:val="Normal"/>
        <w:widowControl w:val="false"/>
        <w:spacing w:lineRule="auto" w:line="360" w:before="0" w:after="0"/>
        <w:jc w:val="both"/>
        <w:rPr>
          <w:rFonts w:eastAsia="Times New Roman"/>
          <w:color w:val="00000A"/>
          <w:sz w:val="24"/>
          <w:szCs w:val="24"/>
        </w:rPr>
      </w:pPr>
      <w:r>
        <w:rPr>
          <w:rFonts w:eastAsia="Times New Roman"/>
          <w:color w:val="00000A"/>
          <w:sz w:val="24"/>
          <w:szCs w:val="24"/>
        </w:rPr>
        <w:t>СКЗ - сверхкомплектный зуб</w:t>
      </w:r>
    </w:p>
    <w:p>
      <w:pPr>
        <w:pStyle w:val="Normal"/>
        <w:widowControl w:val="false"/>
        <w:spacing w:lineRule="auto" w:line="360" w:before="0" w:after="0"/>
        <w:jc w:val="both"/>
        <w:rPr>
          <w:rFonts w:eastAsia="Times New Roman"/>
          <w:color w:val="00000A"/>
          <w:sz w:val="24"/>
          <w:szCs w:val="24"/>
        </w:rPr>
      </w:pPr>
      <w:r>
        <w:rPr>
          <w:rFonts w:eastAsia="Times New Roman"/>
          <w:color w:val="00000A"/>
          <w:sz w:val="24"/>
          <w:szCs w:val="24"/>
        </w:rPr>
        <w:t>ЭОД - электроодонтодиагностика</w:t>
      </w:r>
    </w:p>
    <w:p>
      <w:pPr>
        <w:pStyle w:val="Normal"/>
        <w:widowControl w:val="false"/>
        <w:spacing w:lineRule="auto" w:line="360" w:before="0" w:after="0"/>
        <w:jc w:val="both"/>
        <w:rPr>
          <w:rFonts w:eastAsia="Times New Roman"/>
          <w:color w:val="00000A"/>
          <w:sz w:val="24"/>
          <w:szCs w:val="24"/>
        </w:rPr>
      </w:pPr>
      <w:r>
        <w:rPr>
          <w:rFonts w:eastAsia="Times New Roman"/>
          <w:color w:val="00000A"/>
          <w:sz w:val="24"/>
          <w:szCs w:val="24"/>
        </w:rPr>
      </w:r>
    </w:p>
    <w:p>
      <w:pPr>
        <w:pStyle w:val="Normal"/>
        <w:widowControl w:val="false"/>
        <w:spacing w:lineRule="auto" w:line="360" w:before="0" w:after="0"/>
        <w:jc w:val="both"/>
        <w:rPr>
          <w:rFonts w:eastAsia="Times New Roman"/>
          <w:color w:val="00000A"/>
          <w:sz w:val="24"/>
          <w:szCs w:val="24"/>
        </w:rPr>
      </w:pPr>
      <w:r>
        <w:rPr>
          <w:rFonts w:eastAsia="Times New Roman"/>
          <w:color w:val="00000A"/>
          <w:sz w:val="24"/>
          <w:szCs w:val="24"/>
        </w:rPr>
      </w:r>
    </w:p>
    <w:p>
      <w:pPr>
        <w:pStyle w:val="Normal"/>
        <w:widowControl w:val="false"/>
        <w:spacing w:lineRule="auto" w:line="360" w:before="0" w:after="0"/>
        <w:jc w:val="both"/>
        <w:rPr>
          <w:rFonts w:eastAsia="Times New Roman"/>
          <w:color w:val="00000A"/>
          <w:sz w:val="24"/>
          <w:szCs w:val="24"/>
        </w:rPr>
      </w:pPr>
      <w:r>
        <w:rPr>
          <w:rFonts w:eastAsia="Times New Roman"/>
          <w:color w:val="00000A"/>
          <w:sz w:val="24"/>
          <w:szCs w:val="24"/>
        </w:rPr>
      </w:r>
    </w:p>
    <w:p>
      <w:pPr>
        <w:pStyle w:val="Normal"/>
        <w:widowControl w:val="false"/>
        <w:spacing w:lineRule="auto" w:line="360" w:before="0" w:after="0"/>
        <w:jc w:val="both"/>
        <w:rPr>
          <w:rFonts w:eastAsia="Times New Roman"/>
          <w:color w:val="00000A"/>
          <w:sz w:val="24"/>
          <w:szCs w:val="24"/>
        </w:rPr>
      </w:pPr>
      <w:r>
        <w:rPr>
          <w:rFonts w:eastAsia="Times New Roman"/>
          <w:color w:val="00000A"/>
          <w:sz w:val="24"/>
          <w:szCs w:val="24"/>
        </w:rPr>
      </w:r>
    </w:p>
    <w:p>
      <w:pPr>
        <w:pStyle w:val="Normal"/>
        <w:widowControl w:val="false"/>
        <w:spacing w:lineRule="auto" w:line="360" w:before="0" w:after="0"/>
        <w:jc w:val="both"/>
        <w:rPr>
          <w:rFonts w:eastAsia="Times New Roman"/>
          <w:color w:val="00000A"/>
          <w:sz w:val="24"/>
          <w:szCs w:val="24"/>
        </w:rPr>
      </w:pPr>
      <w:r>
        <w:rPr>
          <w:rFonts w:eastAsia="Times New Roman"/>
          <w:color w:val="00000A"/>
          <w:sz w:val="24"/>
          <w:szCs w:val="24"/>
        </w:rPr>
      </w:r>
    </w:p>
    <w:p>
      <w:pPr>
        <w:pStyle w:val="Normal"/>
        <w:widowControl w:val="false"/>
        <w:spacing w:lineRule="auto" w:line="360" w:before="0" w:after="0"/>
        <w:jc w:val="both"/>
        <w:rPr>
          <w:rFonts w:eastAsia="Times New Roman"/>
          <w:color w:val="00000A"/>
          <w:sz w:val="24"/>
          <w:szCs w:val="24"/>
        </w:rPr>
      </w:pPr>
      <w:r>
        <w:rPr>
          <w:rFonts w:eastAsia="Times New Roman"/>
          <w:color w:val="00000A"/>
          <w:sz w:val="24"/>
          <w:szCs w:val="24"/>
        </w:rPr>
      </w:r>
    </w:p>
    <w:p>
      <w:pPr>
        <w:pStyle w:val="Normal"/>
        <w:widowControl w:val="false"/>
        <w:spacing w:lineRule="auto" w:line="360" w:before="0" w:after="0"/>
        <w:jc w:val="both"/>
        <w:rPr>
          <w:rFonts w:eastAsia="Times New Roman"/>
          <w:color w:val="00000A"/>
          <w:sz w:val="24"/>
          <w:szCs w:val="24"/>
        </w:rPr>
      </w:pPr>
      <w:r>
        <w:rPr>
          <w:rFonts w:eastAsia="Times New Roman"/>
          <w:color w:val="00000A"/>
          <w:sz w:val="24"/>
          <w:szCs w:val="24"/>
        </w:rPr>
      </w:r>
    </w:p>
    <w:p>
      <w:pPr>
        <w:pStyle w:val="Normal"/>
        <w:widowControl w:val="false"/>
        <w:spacing w:lineRule="auto" w:line="360" w:before="0" w:after="0"/>
        <w:jc w:val="both"/>
        <w:rPr>
          <w:rFonts w:eastAsia="Times New Roman"/>
          <w:color w:val="00000A"/>
          <w:sz w:val="24"/>
          <w:szCs w:val="24"/>
        </w:rPr>
      </w:pPr>
      <w:r>
        <w:rPr>
          <w:rFonts w:eastAsia="Times New Roman"/>
          <w:color w:val="00000A"/>
          <w:sz w:val="24"/>
          <w:szCs w:val="24"/>
        </w:rPr>
      </w:r>
    </w:p>
    <w:p>
      <w:pPr>
        <w:pStyle w:val="Normal"/>
        <w:widowControl w:val="false"/>
        <w:spacing w:lineRule="auto" w:line="360" w:before="0" w:after="0"/>
        <w:jc w:val="both"/>
        <w:rPr>
          <w:rFonts w:eastAsia="Times New Roman"/>
          <w:color w:val="00000A"/>
          <w:sz w:val="24"/>
          <w:szCs w:val="24"/>
        </w:rPr>
      </w:pPr>
      <w:r>
        <w:rPr>
          <w:rFonts w:eastAsia="Times New Roman"/>
          <w:color w:val="00000A"/>
          <w:sz w:val="24"/>
          <w:szCs w:val="24"/>
        </w:rPr>
      </w:r>
    </w:p>
    <w:p>
      <w:pPr>
        <w:pStyle w:val="Normal"/>
        <w:widowControl w:val="false"/>
        <w:spacing w:lineRule="auto" w:line="360" w:before="0" w:after="0"/>
        <w:jc w:val="both"/>
        <w:rPr>
          <w:rFonts w:eastAsia="Times New Roman"/>
          <w:color w:val="00000A"/>
          <w:sz w:val="24"/>
          <w:szCs w:val="24"/>
        </w:rPr>
      </w:pPr>
      <w:r>
        <w:rPr>
          <w:rFonts w:eastAsia="Times New Roman"/>
          <w:color w:val="00000A"/>
          <w:sz w:val="24"/>
          <w:szCs w:val="24"/>
        </w:rPr>
      </w:r>
    </w:p>
    <w:p>
      <w:pPr>
        <w:pStyle w:val="Normal"/>
        <w:widowControl w:val="false"/>
        <w:spacing w:lineRule="auto" w:line="360" w:before="0" w:after="0"/>
        <w:jc w:val="both"/>
        <w:rPr>
          <w:rFonts w:eastAsia="Times New Roman"/>
          <w:color w:val="00000A"/>
          <w:sz w:val="24"/>
          <w:szCs w:val="24"/>
        </w:rPr>
      </w:pPr>
      <w:r>
        <w:rPr>
          <w:rFonts w:eastAsia="Times New Roman"/>
          <w:color w:val="00000A"/>
          <w:sz w:val="24"/>
          <w:szCs w:val="24"/>
        </w:rPr>
      </w:r>
    </w:p>
    <w:p>
      <w:pPr>
        <w:pStyle w:val="Normal"/>
        <w:widowControl w:val="false"/>
        <w:spacing w:lineRule="auto" w:line="360" w:before="0" w:after="0"/>
        <w:jc w:val="both"/>
        <w:rPr>
          <w:rFonts w:eastAsia="Times New Roman"/>
          <w:color w:val="00000A"/>
          <w:sz w:val="24"/>
          <w:szCs w:val="24"/>
        </w:rPr>
      </w:pPr>
      <w:r>
        <w:rPr>
          <w:rFonts w:eastAsia="Times New Roman"/>
          <w:color w:val="00000A"/>
          <w:sz w:val="24"/>
          <w:szCs w:val="24"/>
        </w:rPr>
      </w:r>
    </w:p>
    <w:p>
      <w:pPr>
        <w:pStyle w:val="Normal"/>
        <w:widowControl w:val="false"/>
        <w:spacing w:lineRule="auto" w:line="360" w:before="0" w:after="0"/>
        <w:jc w:val="both"/>
        <w:rPr>
          <w:rFonts w:eastAsia="Times New Roman"/>
          <w:color w:val="00000A"/>
          <w:sz w:val="24"/>
          <w:szCs w:val="24"/>
        </w:rPr>
      </w:pPr>
      <w:r>
        <w:rPr>
          <w:rFonts w:eastAsia="Times New Roman"/>
          <w:color w:val="00000A"/>
          <w:sz w:val="24"/>
          <w:szCs w:val="24"/>
        </w:rPr>
      </w:r>
    </w:p>
    <w:p>
      <w:pPr>
        <w:pStyle w:val="Normal"/>
        <w:widowControl w:val="false"/>
        <w:spacing w:lineRule="auto" w:line="360" w:before="0" w:after="0"/>
        <w:jc w:val="both"/>
        <w:rPr>
          <w:rFonts w:eastAsia="Times New Roman"/>
          <w:color w:val="00000A"/>
          <w:sz w:val="24"/>
          <w:szCs w:val="24"/>
        </w:rPr>
      </w:pPr>
      <w:r>
        <w:rPr>
          <w:rFonts w:eastAsia="Times New Roman"/>
          <w:color w:val="00000A"/>
          <w:sz w:val="24"/>
          <w:szCs w:val="24"/>
        </w:rPr>
      </w:r>
    </w:p>
    <w:p>
      <w:pPr>
        <w:pStyle w:val="Normal"/>
        <w:widowControl w:val="false"/>
        <w:spacing w:lineRule="auto" w:line="360" w:before="0" w:after="0"/>
        <w:jc w:val="both"/>
        <w:rPr>
          <w:rFonts w:eastAsia="Times New Roman"/>
          <w:color w:val="00000A"/>
          <w:sz w:val="24"/>
          <w:szCs w:val="24"/>
        </w:rPr>
      </w:pPr>
      <w:r>
        <w:rPr>
          <w:rFonts w:eastAsia="Times New Roman"/>
          <w:color w:val="00000A"/>
          <w:sz w:val="24"/>
          <w:szCs w:val="24"/>
        </w:rPr>
      </w:r>
    </w:p>
    <w:p>
      <w:pPr>
        <w:pStyle w:val="Normal"/>
        <w:widowControl w:val="false"/>
        <w:spacing w:lineRule="auto" w:line="360" w:before="0" w:after="0"/>
        <w:jc w:val="both"/>
        <w:rPr>
          <w:rFonts w:eastAsia="Times New Roman"/>
          <w:color w:val="00000A"/>
          <w:sz w:val="24"/>
          <w:szCs w:val="24"/>
        </w:rPr>
      </w:pPr>
      <w:r>
        <w:rPr>
          <w:rFonts w:eastAsia="Times New Roman"/>
          <w:color w:val="00000A"/>
          <w:sz w:val="24"/>
          <w:szCs w:val="24"/>
        </w:rPr>
      </w:r>
    </w:p>
    <w:p>
      <w:pPr>
        <w:pStyle w:val="Normal"/>
        <w:widowControl w:val="false"/>
        <w:spacing w:lineRule="auto" w:line="360" w:before="0" w:after="0"/>
        <w:jc w:val="both"/>
        <w:rPr>
          <w:rFonts w:eastAsia="Times New Roman"/>
          <w:color w:val="00000A"/>
          <w:sz w:val="24"/>
          <w:szCs w:val="24"/>
        </w:rPr>
      </w:pPr>
      <w:r>
        <w:rPr>
          <w:rFonts w:eastAsia="Times New Roman"/>
          <w:color w:val="00000A"/>
          <w:sz w:val="24"/>
          <w:szCs w:val="24"/>
        </w:rPr>
      </w:r>
    </w:p>
    <w:p>
      <w:pPr>
        <w:pStyle w:val="Normal"/>
        <w:widowControl w:val="false"/>
        <w:spacing w:lineRule="auto" w:line="360" w:before="0" w:after="0"/>
        <w:jc w:val="both"/>
        <w:rPr>
          <w:rFonts w:eastAsia="Times New Roman"/>
          <w:color w:val="00000A"/>
          <w:sz w:val="24"/>
          <w:szCs w:val="24"/>
        </w:rPr>
      </w:pPr>
      <w:r>
        <w:rPr>
          <w:rFonts w:eastAsia="Times New Roman"/>
          <w:color w:val="00000A"/>
          <w:sz w:val="24"/>
          <w:szCs w:val="24"/>
        </w:rPr>
      </w:r>
    </w:p>
    <w:p>
      <w:pPr>
        <w:pStyle w:val="Normal"/>
        <w:widowControl w:val="false"/>
        <w:spacing w:lineRule="auto" w:line="360" w:before="0" w:after="0"/>
        <w:jc w:val="both"/>
        <w:rPr>
          <w:rFonts w:eastAsia="Times New Roman"/>
          <w:color w:val="00000A"/>
          <w:sz w:val="24"/>
          <w:szCs w:val="24"/>
        </w:rPr>
      </w:pPr>
      <w:r>
        <w:rPr>
          <w:rFonts w:eastAsia="Times New Roman"/>
          <w:color w:val="00000A"/>
          <w:sz w:val="24"/>
          <w:szCs w:val="24"/>
        </w:rPr>
      </w:r>
    </w:p>
    <w:p>
      <w:pPr>
        <w:pStyle w:val="Normal"/>
        <w:widowControl w:val="false"/>
        <w:spacing w:lineRule="auto" w:line="360" w:before="0" w:after="0"/>
        <w:jc w:val="both"/>
        <w:rPr>
          <w:rFonts w:eastAsia="Times New Roman"/>
          <w:color w:val="00000A"/>
          <w:sz w:val="24"/>
          <w:szCs w:val="24"/>
        </w:rPr>
      </w:pPr>
      <w:r>
        <w:rPr>
          <w:rFonts w:eastAsia="Times New Roman"/>
          <w:color w:val="00000A"/>
          <w:sz w:val="24"/>
          <w:szCs w:val="24"/>
        </w:rPr>
      </w:r>
    </w:p>
    <w:p>
      <w:pPr>
        <w:pStyle w:val="Normal"/>
        <w:widowControl w:val="false"/>
        <w:spacing w:lineRule="auto" w:line="360" w:before="0" w:after="0"/>
        <w:jc w:val="both"/>
        <w:rPr>
          <w:rFonts w:eastAsia="Times New Roman"/>
          <w:color w:val="00000A"/>
          <w:sz w:val="24"/>
          <w:szCs w:val="24"/>
        </w:rPr>
      </w:pPr>
      <w:r>
        <w:rPr>
          <w:rFonts w:eastAsia="Times New Roman"/>
          <w:color w:val="00000A"/>
          <w:sz w:val="24"/>
          <w:szCs w:val="24"/>
        </w:rPr>
      </w:r>
    </w:p>
    <w:p>
      <w:pPr>
        <w:pStyle w:val="Normal"/>
        <w:widowControl w:val="false"/>
        <w:spacing w:lineRule="auto" w:line="360" w:before="0" w:after="0"/>
        <w:jc w:val="both"/>
        <w:rPr>
          <w:rFonts w:eastAsia="Times New Roman"/>
          <w:color w:val="00000A"/>
          <w:sz w:val="24"/>
          <w:szCs w:val="24"/>
        </w:rPr>
      </w:pPr>
      <w:r>
        <w:rPr>
          <w:rFonts w:eastAsia="Times New Roman"/>
          <w:color w:val="00000A"/>
          <w:sz w:val="24"/>
          <w:szCs w:val="24"/>
        </w:rPr>
      </w:r>
    </w:p>
    <w:p>
      <w:pPr>
        <w:pStyle w:val="Normal"/>
        <w:widowControl w:val="false"/>
        <w:spacing w:lineRule="auto" w:line="360" w:before="0" w:after="0"/>
        <w:jc w:val="both"/>
        <w:rPr>
          <w:rFonts w:eastAsia="Times New Roman"/>
          <w:color w:val="00000A"/>
          <w:sz w:val="24"/>
          <w:szCs w:val="24"/>
        </w:rPr>
      </w:pPr>
      <w:r>
        <w:rPr>
          <w:rFonts w:eastAsia="Times New Roman"/>
          <w:color w:val="00000A"/>
          <w:sz w:val="24"/>
          <w:szCs w:val="24"/>
        </w:rPr>
      </w:r>
    </w:p>
    <w:p>
      <w:pPr>
        <w:pStyle w:val="Normal"/>
        <w:widowControl w:val="false"/>
        <w:spacing w:lineRule="auto" w:line="360" w:before="0" w:after="0"/>
        <w:jc w:val="both"/>
        <w:rPr>
          <w:rFonts w:eastAsia="Times New Roman"/>
          <w:color w:val="00000A"/>
          <w:sz w:val="24"/>
          <w:szCs w:val="24"/>
        </w:rPr>
      </w:pPr>
      <w:r>
        <w:rPr>
          <w:rFonts w:eastAsia="Times New Roman"/>
          <w:color w:val="00000A"/>
          <w:sz w:val="24"/>
          <w:szCs w:val="24"/>
        </w:rPr>
      </w:r>
    </w:p>
    <w:p>
      <w:pPr>
        <w:pStyle w:val="1"/>
        <w:spacing w:before="0" w:after="0"/>
        <w:rPr/>
      </w:pPr>
      <w:bookmarkStart w:id="5" w:name="__RefHeading___Toc10499_2770555280"/>
      <w:bookmarkStart w:id="6" w:name="_y5c5lypeh6al"/>
      <w:bookmarkEnd w:id="5"/>
      <w:bookmarkEnd w:id="6"/>
      <w:r>
        <w:rPr>
          <w:color w:val="000000"/>
        </w:rPr>
        <w:t>Термины и определения</w:t>
      </w:r>
    </w:p>
    <w:p>
      <w:pPr>
        <w:pStyle w:val="Normal"/>
        <w:spacing w:lineRule="auto" w:line="240" w:before="0" w:after="0"/>
        <w:rPr/>
      </w:pPr>
      <w:r>
        <w:rPr/>
      </w:r>
    </w:p>
    <w:p>
      <w:pPr>
        <w:pStyle w:val="Normal"/>
        <w:widowControl w:val="false"/>
        <w:spacing w:lineRule="auto" w:line="360" w:before="0" w:after="0"/>
        <w:ind w:firstLine="708"/>
        <w:jc w:val="both"/>
        <w:rPr>
          <w:rFonts w:eastAsia="Times New Roman"/>
          <w:sz w:val="24"/>
          <w:szCs w:val="24"/>
          <w:highlight w:val="white"/>
        </w:rPr>
      </w:pPr>
      <w:r>
        <w:rPr>
          <w:rFonts w:eastAsia="Times New Roman"/>
          <w:b/>
          <w:sz w:val="24"/>
          <w:szCs w:val="24"/>
          <w:highlight w:val="white"/>
        </w:rPr>
        <w:t xml:space="preserve">Киста - </w:t>
      </w:r>
      <w:r>
        <w:rPr>
          <w:rFonts w:eastAsia="Times New Roman"/>
          <w:sz w:val="24"/>
          <w:szCs w:val="24"/>
          <w:highlight w:val="white"/>
        </w:rPr>
        <w:t>опухолеподобное, полостное, доброкачественного характера образование, локализующееся в костных или мягких тканях, имеющее жидкое или полужидкое содержимое. Внутренняя поверхность оболочки кисты выстлана многослойным плоским эпителием, снаружи покрыта слоем фиброзной, соединительной ткани.</w:t>
      </w:r>
    </w:p>
    <w:p>
      <w:pPr>
        <w:pStyle w:val="Normal"/>
        <w:widowControl w:val="false"/>
        <w:spacing w:lineRule="auto" w:line="360" w:before="0" w:after="0"/>
        <w:ind w:firstLine="708"/>
        <w:jc w:val="both"/>
        <w:rPr>
          <w:rFonts w:eastAsia="Times New Roman"/>
          <w:sz w:val="24"/>
          <w:szCs w:val="24"/>
          <w:highlight w:val="white"/>
        </w:rPr>
      </w:pPr>
      <w:r>
        <w:rPr>
          <w:rFonts w:eastAsia="Times New Roman"/>
          <w:b/>
          <w:sz w:val="24"/>
          <w:szCs w:val="24"/>
          <w:highlight w:val="white"/>
        </w:rPr>
        <w:t xml:space="preserve">Зубной зачаток - </w:t>
      </w:r>
      <w:r>
        <w:rPr>
          <w:rFonts w:eastAsia="Times New Roman"/>
          <w:sz w:val="24"/>
          <w:szCs w:val="24"/>
          <w:highlight w:val="white"/>
        </w:rPr>
        <w:t>обособленное тканевое образование, из которого в эмбриогенезе формируется зуб; состоит из зубного (эмалевого) органа, зубного сосочка и зубного мешочка.</w:t>
      </w:r>
    </w:p>
    <w:p>
      <w:pPr>
        <w:pStyle w:val="Normal"/>
        <w:widowControl w:val="false"/>
        <w:spacing w:lineRule="auto" w:line="360" w:before="0" w:after="0"/>
        <w:ind w:firstLine="708"/>
        <w:jc w:val="both"/>
        <w:rPr>
          <w:rFonts w:eastAsia="Times New Roman"/>
          <w:color w:val="000000"/>
          <w:sz w:val="24"/>
          <w:szCs w:val="24"/>
          <w:highlight w:val="white"/>
        </w:rPr>
      </w:pPr>
      <w:r>
        <w:rPr>
          <w:rFonts w:eastAsia="Times New Roman"/>
          <w:b/>
          <w:sz w:val="24"/>
          <w:szCs w:val="24"/>
          <w:highlight w:val="white"/>
        </w:rPr>
        <w:t>Эмалевый орган</w:t>
      </w:r>
      <w:r>
        <w:rPr>
          <w:rFonts w:eastAsia="Times New Roman"/>
          <w:color w:val="555555"/>
          <w:sz w:val="24"/>
          <w:szCs w:val="24"/>
          <w:highlight w:val="white"/>
        </w:rPr>
        <w:t xml:space="preserve"> </w:t>
      </w:r>
      <w:r>
        <w:rPr>
          <w:rFonts w:eastAsia="Times New Roman"/>
          <w:sz w:val="24"/>
          <w:szCs w:val="24"/>
          <w:highlight w:val="white"/>
        </w:rPr>
        <w:t>- часть зубного зачатка состоящая из эпителиальных клеток</w:t>
      </w:r>
      <w:r>
        <w:rPr>
          <w:rFonts w:eastAsia="Times New Roman"/>
          <w:color w:val="000000"/>
          <w:sz w:val="24"/>
          <w:szCs w:val="24"/>
          <w:highlight w:val="white"/>
        </w:rPr>
        <w:t>.</w:t>
      </w:r>
    </w:p>
    <w:p>
      <w:pPr>
        <w:pStyle w:val="Normal"/>
        <w:widowControl w:val="false"/>
        <w:spacing w:lineRule="auto" w:line="360" w:before="0" w:after="0"/>
        <w:ind w:firstLine="708"/>
        <w:jc w:val="both"/>
        <w:rPr>
          <w:rFonts w:eastAsia="Times New Roman"/>
          <w:color w:val="555555"/>
          <w:sz w:val="24"/>
          <w:szCs w:val="24"/>
          <w:highlight w:val="white"/>
        </w:rPr>
      </w:pPr>
      <w:r>
        <w:rPr>
          <w:rFonts w:eastAsia="Times New Roman"/>
          <w:b/>
          <w:sz w:val="24"/>
          <w:szCs w:val="24"/>
          <w:highlight w:val="white"/>
        </w:rPr>
        <w:t xml:space="preserve">Зубной сосочек - </w:t>
      </w:r>
      <w:r>
        <w:rPr>
          <w:rFonts w:eastAsia="Times New Roman"/>
          <w:sz w:val="24"/>
          <w:szCs w:val="24"/>
          <w:highlight w:val="white"/>
        </w:rPr>
        <w:t xml:space="preserve">часть зубного зачатка в виде </w:t>
      </w:r>
      <w:r>
        <w:rPr>
          <w:rFonts w:eastAsia="Times New Roman"/>
          <w:color w:val="121212"/>
          <w:sz w:val="24"/>
          <w:szCs w:val="24"/>
          <w:highlight w:val="white"/>
        </w:rPr>
        <w:t>компактного скопления мезенхимных кле</w:t>
        <w:softHyphen/>
        <w:t>ток, окруженных эмалевым органом</w:t>
      </w:r>
      <w:r>
        <w:rPr>
          <w:rFonts w:eastAsia="Times New Roman"/>
          <w:color w:val="000000"/>
          <w:sz w:val="24"/>
          <w:szCs w:val="24"/>
          <w:highlight w:val="white"/>
        </w:rPr>
        <w:t>.</w:t>
      </w:r>
    </w:p>
    <w:p>
      <w:pPr>
        <w:pStyle w:val="Normal"/>
        <w:widowControl w:val="false"/>
        <w:spacing w:lineRule="auto" w:line="360" w:before="0" w:after="0"/>
        <w:ind w:firstLine="708"/>
        <w:jc w:val="both"/>
        <w:rPr>
          <w:rFonts w:eastAsia="Times New Roman"/>
          <w:color w:val="00000A"/>
          <w:sz w:val="24"/>
          <w:szCs w:val="24"/>
        </w:rPr>
      </w:pPr>
      <w:r>
        <w:rPr>
          <w:rFonts w:eastAsia="Times New Roman"/>
          <w:b/>
          <w:color w:val="00000A"/>
          <w:sz w:val="24"/>
          <w:szCs w:val="24"/>
        </w:rPr>
        <w:t>Зубной мешочек</w:t>
      </w:r>
      <w:r>
        <w:rPr>
          <w:rFonts w:eastAsia="Times New Roman"/>
          <w:color w:val="00000A"/>
          <w:sz w:val="24"/>
          <w:szCs w:val="24"/>
        </w:rPr>
        <w:t xml:space="preserve"> –</w:t>
      </w:r>
      <w:r>
        <w:rPr>
          <w:rFonts w:eastAsia="Times New Roman"/>
          <w:color w:val="121212"/>
          <w:sz w:val="24"/>
          <w:szCs w:val="24"/>
          <w:highlight w:val="white"/>
        </w:rPr>
        <w:t xml:space="preserve"> часть зубного зачатка состоящая из мезенхимальных клеток, окружающих эмалевый орган и образующие оболочку зубного зачатка</w:t>
      </w:r>
      <w:r>
        <w:rPr>
          <w:rFonts w:eastAsia="Times New Roman"/>
          <w:color w:val="00000A"/>
          <w:sz w:val="24"/>
          <w:szCs w:val="24"/>
        </w:rPr>
        <w:t>.</w:t>
      </w:r>
    </w:p>
    <w:p>
      <w:pPr>
        <w:pStyle w:val="Normal"/>
        <w:widowControl w:val="false"/>
        <w:spacing w:lineRule="auto" w:line="360" w:before="0" w:after="0"/>
        <w:ind w:firstLine="708"/>
        <w:jc w:val="both"/>
        <w:rPr>
          <w:rFonts w:eastAsia="Times New Roman"/>
          <w:color w:val="00000A"/>
          <w:sz w:val="24"/>
          <w:szCs w:val="24"/>
        </w:rPr>
      </w:pPr>
      <w:r>
        <w:rPr>
          <w:rFonts w:eastAsia="Times New Roman"/>
          <w:b/>
          <w:color w:val="00000A"/>
          <w:sz w:val="24"/>
          <w:szCs w:val="24"/>
        </w:rPr>
        <w:t xml:space="preserve">Зубосодержащая (фолликулярная) киста - </w:t>
      </w:r>
      <w:r>
        <w:rPr>
          <w:rFonts w:eastAsia="Times New Roman"/>
          <w:color w:val="00000A"/>
          <w:sz w:val="24"/>
          <w:szCs w:val="24"/>
        </w:rPr>
        <w:t>развивается из эмалевого органа непрорезавшегося зуба, преимущественно третьего моляра или клыка.</w:t>
      </w:r>
    </w:p>
    <w:p>
      <w:pPr>
        <w:pStyle w:val="Normal"/>
        <w:widowControl w:val="false"/>
        <w:spacing w:lineRule="auto" w:line="360" w:before="0" w:after="0"/>
        <w:ind w:firstLine="708"/>
        <w:jc w:val="both"/>
        <w:rPr>
          <w:rFonts w:eastAsia="Times New Roman"/>
          <w:color w:val="00000A"/>
          <w:sz w:val="24"/>
          <w:szCs w:val="24"/>
        </w:rPr>
      </w:pPr>
      <w:r>
        <w:rPr>
          <w:rFonts w:eastAsia="Times New Roman"/>
          <w:b/>
          <w:color w:val="00000A"/>
          <w:sz w:val="24"/>
          <w:szCs w:val="24"/>
        </w:rPr>
        <w:t xml:space="preserve">Одонтогенная киста - </w:t>
      </w:r>
      <w:r>
        <w:rPr>
          <w:rFonts w:eastAsia="Times New Roman"/>
          <w:color w:val="00000A"/>
          <w:sz w:val="24"/>
          <w:szCs w:val="24"/>
        </w:rPr>
        <w:t>возникает в результате спонтанной пролиферации одонтогенных эпителиальных остатков, сохранившихся внутри челюстей и десен.</w:t>
      </w:r>
    </w:p>
    <w:p>
      <w:pPr>
        <w:pStyle w:val="Normal"/>
        <w:widowControl w:val="false"/>
        <w:spacing w:lineRule="auto" w:line="360" w:before="0" w:after="0"/>
        <w:ind w:firstLine="708"/>
        <w:jc w:val="both"/>
        <w:rPr>
          <w:rFonts w:eastAsia="Times New Roman"/>
          <w:color w:val="00000A"/>
          <w:sz w:val="24"/>
          <w:szCs w:val="24"/>
        </w:rPr>
      </w:pPr>
      <w:r>
        <w:rPr>
          <w:rFonts w:eastAsia="Times New Roman"/>
          <w:b/>
          <w:color w:val="00000A"/>
          <w:sz w:val="24"/>
          <w:szCs w:val="24"/>
        </w:rPr>
        <w:t xml:space="preserve">Эпителиальные кисты - </w:t>
      </w:r>
      <w:r>
        <w:rPr>
          <w:rFonts w:eastAsia="Times New Roman"/>
          <w:color w:val="00000A"/>
          <w:sz w:val="24"/>
          <w:szCs w:val="24"/>
        </w:rPr>
        <w:t>различают кисты</w:t>
      </w:r>
      <w:r>
        <w:rPr>
          <w:rFonts w:eastAsia="Times New Roman"/>
          <w:b/>
          <w:color w:val="00000A"/>
          <w:sz w:val="24"/>
          <w:szCs w:val="24"/>
        </w:rPr>
        <w:t xml:space="preserve"> </w:t>
      </w:r>
      <w:r>
        <w:rPr>
          <w:rFonts w:eastAsia="Times New Roman"/>
          <w:color w:val="00000A"/>
          <w:sz w:val="24"/>
          <w:szCs w:val="24"/>
        </w:rPr>
        <w:t>эволюционного (пороки развития челюстей и зачатков зубов) и воспалительного генеза (от молочных и постоянных зубов).</w:t>
      </w:r>
    </w:p>
    <w:p>
      <w:pPr>
        <w:pStyle w:val="Normal"/>
        <w:widowControl w:val="false"/>
        <w:spacing w:lineRule="auto" w:line="360" w:before="0" w:after="0"/>
        <w:ind w:firstLine="708"/>
        <w:jc w:val="both"/>
        <w:rPr>
          <w:rFonts w:eastAsia="Times New Roman"/>
          <w:color w:val="00000A"/>
          <w:sz w:val="24"/>
          <w:szCs w:val="24"/>
        </w:rPr>
      </w:pPr>
      <w:r>
        <w:rPr>
          <w:rFonts w:eastAsia="Times New Roman"/>
          <w:b/>
          <w:color w:val="00000A"/>
          <w:sz w:val="24"/>
          <w:szCs w:val="24"/>
        </w:rPr>
        <w:t xml:space="preserve">Десневая киста </w:t>
      </w:r>
      <w:r>
        <w:rPr>
          <w:rFonts w:eastAsia="Times New Roman"/>
          <w:color w:val="00000A"/>
          <w:sz w:val="24"/>
          <w:szCs w:val="24"/>
        </w:rPr>
        <w:t>- киста, развивающаяся из зубообразующей пластинки (служит основой для формирования молочных и постоянных зубов) в результате нарушения ее пролиферации.</w:t>
      </w:r>
    </w:p>
    <w:p>
      <w:pPr>
        <w:pStyle w:val="Normal"/>
        <w:widowControl w:val="false"/>
        <w:spacing w:lineRule="auto" w:line="360" w:before="0" w:after="0"/>
        <w:ind w:firstLine="708"/>
        <w:jc w:val="both"/>
        <w:rPr>
          <w:rFonts w:eastAsia="Times New Roman"/>
          <w:color w:val="00000A"/>
          <w:sz w:val="24"/>
          <w:szCs w:val="24"/>
        </w:rPr>
      </w:pPr>
      <w:r>
        <w:rPr>
          <w:rFonts w:eastAsia="Times New Roman"/>
          <w:b/>
          <w:color w:val="00000A"/>
          <w:sz w:val="24"/>
          <w:szCs w:val="24"/>
        </w:rPr>
        <w:t>Узелок Бона (киста новорожденного)</w:t>
      </w:r>
      <w:r>
        <w:rPr>
          <w:rFonts w:eastAsia="Times New Roman"/>
          <w:color w:val="00000A"/>
          <w:sz w:val="24"/>
          <w:szCs w:val="24"/>
        </w:rPr>
        <w:t xml:space="preserve"> - эпителиальные кисты у детей до 3 - х месяцев, расположенные на щечных и язычных поверхностях альвеолярного отростка верхней и/или нижней челюсти. Представляют собой остатки тканей слизистых желез.</w:t>
      </w:r>
    </w:p>
    <w:p>
      <w:pPr>
        <w:pStyle w:val="Normal"/>
        <w:widowControl w:val="false"/>
        <w:spacing w:lineRule="auto" w:line="360" w:before="0" w:after="0"/>
        <w:ind w:firstLine="708"/>
        <w:jc w:val="both"/>
        <w:rPr>
          <w:rFonts w:eastAsia="Times New Roman"/>
          <w:color w:val="00000A"/>
          <w:sz w:val="24"/>
          <w:szCs w:val="24"/>
        </w:rPr>
      </w:pPr>
      <w:r>
        <w:rPr>
          <w:rFonts w:eastAsia="Times New Roman"/>
          <w:b/>
          <w:color w:val="00000A"/>
          <w:sz w:val="24"/>
          <w:szCs w:val="24"/>
        </w:rPr>
        <w:t xml:space="preserve">Фолликул - </w:t>
      </w:r>
      <w:r>
        <w:rPr>
          <w:rFonts w:eastAsia="Times New Roman"/>
          <w:color w:val="00000A"/>
          <w:sz w:val="24"/>
          <w:szCs w:val="24"/>
        </w:rPr>
        <w:t>полость, в которой происходит закладка и развитие зуба.</w:t>
      </w:r>
    </w:p>
    <w:p>
      <w:pPr>
        <w:pStyle w:val="Normal"/>
        <w:widowControl w:val="false"/>
        <w:spacing w:lineRule="auto" w:line="360" w:before="0" w:after="0"/>
        <w:ind w:firstLine="708"/>
        <w:jc w:val="both"/>
        <w:rPr>
          <w:rFonts w:eastAsia="Times New Roman"/>
          <w:color w:val="00000A"/>
          <w:sz w:val="24"/>
          <w:szCs w:val="24"/>
        </w:rPr>
      </w:pPr>
      <w:r>
        <w:rPr>
          <w:rFonts w:eastAsia="Times New Roman"/>
          <w:b/>
          <w:color w:val="00000A"/>
          <w:sz w:val="24"/>
          <w:szCs w:val="24"/>
        </w:rPr>
        <w:t xml:space="preserve">Третий моляр (“зуб мудрости”) - </w:t>
      </w:r>
      <w:r>
        <w:rPr>
          <w:rFonts w:eastAsia="Times New Roman"/>
          <w:color w:val="00000A"/>
          <w:sz w:val="24"/>
          <w:szCs w:val="24"/>
        </w:rPr>
        <w:t>зуб постоянного зубного ряда, расположенный за вторым моляром. “Зубом мудрости” он называется из - за того, что прорезывание происходит в старшем школьном или еще более позднем периоде жизни человека.</w:t>
      </w:r>
    </w:p>
    <w:p>
      <w:pPr>
        <w:pStyle w:val="Normal"/>
        <w:widowControl w:val="false"/>
        <w:spacing w:lineRule="auto" w:line="360" w:before="0" w:after="0"/>
        <w:ind w:firstLine="708"/>
        <w:jc w:val="both"/>
        <w:rPr>
          <w:rFonts w:eastAsia="Times New Roman"/>
          <w:color w:val="00000A"/>
          <w:sz w:val="24"/>
          <w:szCs w:val="24"/>
        </w:rPr>
      </w:pPr>
      <w:r>
        <w:rPr>
          <w:rFonts w:eastAsia="Times New Roman"/>
          <w:b/>
          <w:color w:val="00000A"/>
          <w:sz w:val="24"/>
          <w:szCs w:val="24"/>
        </w:rPr>
        <w:t xml:space="preserve">Клык - </w:t>
      </w:r>
      <w:r>
        <w:rPr>
          <w:rFonts w:eastAsia="Times New Roman"/>
          <w:color w:val="00000A"/>
          <w:sz w:val="24"/>
          <w:szCs w:val="24"/>
        </w:rPr>
        <w:t>третий от центральной линии по счету зуб зубного ряда, расположенный сразу за резцами.</w:t>
      </w:r>
    </w:p>
    <w:p>
      <w:pPr>
        <w:pStyle w:val="Normal"/>
        <w:widowControl w:val="false"/>
        <w:spacing w:lineRule="auto" w:line="360" w:before="0" w:after="0"/>
        <w:ind w:firstLine="708"/>
        <w:jc w:val="both"/>
        <w:rPr>
          <w:rFonts w:eastAsia="Times New Roman"/>
          <w:color w:val="00000A"/>
          <w:sz w:val="24"/>
          <w:szCs w:val="24"/>
        </w:rPr>
      </w:pPr>
      <w:r>
        <w:rPr>
          <w:rFonts w:eastAsia="Times New Roman"/>
          <w:b/>
          <w:color w:val="00000A"/>
          <w:sz w:val="24"/>
          <w:szCs w:val="24"/>
        </w:rPr>
        <w:t xml:space="preserve">Ретенция - </w:t>
      </w:r>
      <w:r>
        <w:rPr>
          <w:rFonts w:eastAsia="Times New Roman"/>
          <w:color w:val="00000A"/>
          <w:sz w:val="24"/>
          <w:szCs w:val="24"/>
        </w:rPr>
        <w:t>задержка прорезывания сформированного зуба.</w:t>
      </w:r>
    </w:p>
    <w:p>
      <w:pPr>
        <w:pStyle w:val="Normal"/>
        <w:widowControl w:val="false"/>
        <w:spacing w:lineRule="auto" w:line="360" w:before="0" w:after="0"/>
        <w:ind w:firstLine="708"/>
        <w:jc w:val="both"/>
        <w:rPr>
          <w:rFonts w:eastAsia="Times New Roman"/>
          <w:color w:val="00000A"/>
          <w:sz w:val="24"/>
          <w:szCs w:val="24"/>
        </w:rPr>
      </w:pPr>
      <w:r>
        <w:rPr>
          <w:rFonts w:eastAsia="Times New Roman"/>
          <w:b/>
          <w:color w:val="00000A"/>
          <w:sz w:val="24"/>
          <w:szCs w:val="24"/>
        </w:rPr>
        <w:t xml:space="preserve">Дистопия </w:t>
      </w:r>
      <w:r>
        <w:rPr>
          <w:rFonts w:eastAsia="Times New Roman"/>
          <w:color w:val="00000A"/>
          <w:sz w:val="24"/>
          <w:szCs w:val="24"/>
        </w:rPr>
        <w:t>- неправильное положение зуба, возникающее в процессе его прорезывания.</w:t>
      </w:r>
    </w:p>
    <w:p>
      <w:pPr>
        <w:pStyle w:val="Normal"/>
        <w:widowControl w:val="false"/>
        <w:spacing w:lineRule="auto" w:line="360" w:before="0" w:after="0"/>
        <w:ind w:firstLine="708"/>
        <w:jc w:val="both"/>
        <w:rPr/>
      </w:pPr>
      <w:r>
        <w:rPr>
          <w:rFonts w:eastAsia="Times New Roman"/>
          <w:b/>
          <w:color w:val="00000A"/>
          <w:sz w:val="24"/>
          <w:szCs w:val="24"/>
        </w:rPr>
        <w:t xml:space="preserve">Сверхкомплектный зуб </w:t>
      </w:r>
      <w:r>
        <w:rPr>
          <w:rFonts w:eastAsia="Times New Roman"/>
          <w:color w:val="00000A"/>
          <w:sz w:val="24"/>
          <w:szCs w:val="24"/>
        </w:rPr>
        <w:t xml:space="preserve">- </w:t>
      </w:r>
      <w:r>
        <w:rPr>
          <w:rFonts w:eastAsia="Times New Roman"/>
          <w:color w:val="222222"/>
          <w:sz w:val="24"/>
          <w:szCs w:val="24"/>
          <w:highlight w:val="white"/>
        </w:rPr>
        <w:t>это стоматологическая аномалия, которая определяется как присутствие зуба или любой ткани зуба сверх набора 20 молочных и 32 постоянных зубов.</w:t>
      </w:r>
    </w:p>
    <w:p>
      <w:pPr>
        <w:pStyle w:val="1"/>
        <w:rPr>
          <w:color w:val="000000"/>
        </w:rPr>
      </w:pPr>
      <w:bookmarkStart w:id="7" w:name="__RefHeading___Toc10501_2770555280"/>
      <w:bookmarkStart w:id="8" w:name="_8v07nmkevuw"/>
      <w:bookmarkEnd w:id="7"/>
      <w:bookmarkEnd w:id="8"/>
      <w:r>
        <w:rPr>
          <w:color w:val="000000"/>
        </w:rPr>
        <w:t>1. Краткая информация по заболеванию или состоянию</w:t>
      </w:r>
    </w:p>
    <w:p>
      <w:pPr>
        <w:pStyle w:val="2"/>
        <w:ind w:hanging="0"/>
        <w:rPr/>
      </w:pPr>
      <w:bookmarkStart w:id="9" w:name="__RefHeading___Toc10503_2770555280"/>
      <w:bookmarkStart w:id="10" w:name="_1fob9te"/>
      <w:bookmarkEnd w:id="9"/>
      <w:bookmarkEnd w:id="10"/>
      <w:r>
        <w:rPr/>
        <w:t>1.1 Определение заболевания или состояния</w:t>
      </w:r>
    </w:p>
    <w:p>
      <w:pPr>
        <w:pStyle w:val="Normal"/>
        <w:widowControl w:val="false"/>
        <w:spacing w:lineRule="auto" w:line="360" w:before="0" w:after="0"/>
        <w:ind w:firstLine="708"/>
        <w:jc w:val="both"/>
        <w:rPr>
          <w:rFonts w:eastAsia="Times New Roman"/>
          <w:color w:val="000000"/>
          <w:sz w:val="24"/>
          <w:szCs w:val="24"/>
          <w:highlight w:val="white"/>
        </w:rPr>
      </w:pPr>
      <w:r>
        <w:rPr>
          <w:rFonts w:eastAsia="Times New Roman"/>
          <w:b/>
          <w:sz w:val="24"/>
          <w:szCs w:val="24"/>
        </w:rPr>
        <w:t>Фолликулярная киста</w:t>
      </w:r>
      <w:r>
        <w:rPr>
          <w:rFonts w:eastAsia="Times New Roman"/>
          <w:sz w:val="24"/>
          <w:szCs w:val="24"/>
        </w:rPr>
        <w:t xml:space="preserve"> – это внутрикостное полостное ретенционное образование, которое обусловлено нарушением развития зубного фолликула</w:t>
      </w:r>
      <w:r>
        <w:rPr>
          <w:rFonts w:eastAsia="Times New Roman"/>
          <w:color w:val="000000"/>
          <w:sz w:val="24"/>
          <w:szCs w:val="24"/>
          <w:highlight w:val="white"/>
        </w:rPr>
        <w:t xml:space="preserve">. </w:t>
      </w:r>
    </w:p>
    <w:p>
      <w:pPr>
        <w:pStyle w:val="Normal"/>
        <w:widowControl w:val="false"/>
        <w:spacing w:lineRule="auto" w:line="360" w:before="0" w:after="0"/>
        <w:ind w:firstLine="708"/>
        <w:jc w:val="both"/>
        <w:rPr>
          <w:rFonts w:eastAsia="Times New Roman"/>
          <w:b/>
          <w:b/>
          <w:color w:val="00000A"/>
          <w:sz w:val="24"/>
          <w:szCs w:val="24"/>
        </w:rPr>
      </w:pPr>
      <w:r>
        <w:rPr>
          <w:rFonts w:eastAsia="Times New Roman"/>
          <w:b/>
          <w:color w:val="00000A"/>
          <w:sz w:val="24"/>
          <w:szCs w:val="24"/>
        </w:rPr>
        <w:t>Одонтогенные кисты, образовавшиеся в процессе формирования зубов:</w:t>
      </w:r>
    </w:p>
    <w:p>
      <w:pPr>
        <w:pStyle w:val="Normal"/>
        <w:widowControl w:val="false"/>
        <w:spacing w:lineRule="auto" w:line="360" w:before="0" w:after="0"/>
        <w:ind w:firstLine="708"/>
        <w:jc w:val="both"/>
        <w:rPr>
          <w:rFonts w:eastAsia="Times New Roman"/>
          <w:color w:val="00000A"/>
          <w:sz w:val="24"/>
          <w:szCs w:val="24"/>
        </w:rPr>
      </w:pPr>
      <w:r>
        <w:rPr>
          <w:rFonts w:eastAsia="Times New Roman"/>
          <w:b/>
          <w:color w:val="00000A"/>
          <w:sz w:val="24"/>
          <w:szCs w:val="24"/>
        </w:rPr>
        <w:t xml:space="preserve">Десневая киста </w:t>
      </w:r>
      <w:r>
        <w:rPr>
          <w:rFonts w:eastAsia="Times New Roman"/>
          <w:color w:val="00000A"/>
          <w:sz w:val="24"/>
          <w:szCs w:val="24"/>
        </w:rPr>
        <w:t>- киста, развивающаяся из зубообразующей пластинки (служит основой для формирования молочных и постоянных зубов) в результате нарушения ее пролиферации.</w:t>
      </w:r>
    </w:p>
    <w:p>
      <w:pPr>
        <w:pStyle w:val="Normal"/>
        <w:widowControl w:val="false"/>
        <w:spacing w:lineRule="auto" w:line="360" w:before="0" w:after="0"/>
        <w:ind w:firstLine="708"/>
        <w:jc w:val="both"/>
        <w:rPr>
          <w:rFonts w:eastAsia="Times New Roman"/>
          <w:color w:val="555555"/>
          <w:sz w:val="24"/>
          <w:szCs w:val="24"/>
          <w:highlight w:val="white"/>
        </w:rPr>
      </w:pPr>
      <w:r>
        <w:rPr>
          <w:rFonts w:eastAsia="Times New Roman"/>
          <w:b/>
          <w:color w:val="00000A"/>
          <w:sz w:val="24"/>
          <w:szCs w:val="24"/>
        </w:rPr>
        <w:t>Узелок Бона (киста новорожденного)</w:t>
      </w:r>
      <w:r>
        <w:rPr>
          <w:rFonts w:eastAsia="Times New Roman"/>
          <w:color w:val="00000A"/>
          <w:sz w:val="24"/>
          <w:szCs w:val="24"/>
        </w:rPr>
        <w:t xml:space="preserve"> - эпителиальные кисты у детей до 3 - х месяцев, расположенные на щечных и язычных поверхностях альвеолярного отростка верхней и/или нижней челюсти. Представляют собой остатки тканей слизистых желез. </w:t>
      </w:r>
      <w:r>
        <w:rPr>
          <w:rFonts w:eastAsia="Times New Roman"/>
          <w:color w:val="000000"/>
          <w:sz w:val="24"/>
          <w:szCs w:val="24"/>
          <w:highlight w:val="white"/>
        </w:rPr>
        <w:t>[1, 5</w:t>
      </w:r>
      <w:r>
        <w:rPr>
          <w:rFonts w:eastAsia="Times New Roman"/>
          <w:sz w:val="24"/>
          <w:szCs w:val="24"/>
          <w:highlight w:val="white"/>
        </w:rPr>
        <w:t>]</w:t>
      </w:r>
    </w:p>
    <w:p>
      <w:pPr>
        <w:pStyle w:val="2"/>
        <w:ind w:hanging="0"/>
        <w:rPr/>
      </w:pPr>
      <w:bookmarkStart w:id="11" w:name="__RefHeading___Toc10505_2770555280"/>
      <w:bookmarkStart w:id="12" w:name="_3znysh7"/>
      <w:bookmarkEnd w:id="11"/>
      <w:bookmarkEnd w:id="12"/>
      <w:r>
        <w:rPr/>
        <w:t>1.2 Этиология и патогенез заболевания или состояния</w:t>
      </w:r>
    </w:p>
    <w:p>
      <w:pPr>
        <w:pStyle w:val="Normal"/>
        <w:spacing w:lineRule="auto" w:line="360" w:before="0" w:after="0"/>
        <w:ind w:firstLine="708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Фолликулярная киста – заболевание врожденное. Формирование кисты происходит после дифференцировки твердых тканей зачатка зуба вследствие кистозной дегенерации эпителия эмалевого органа, окружающего коронку зуба. </w:t>
      </w:r>
    </w:p>
    <w:p>
      <w:pPr>
        <w:pStyle w:val="Normal"/>
        <w:spacing w:lineRule="auto" w:line="360" w:before="0" w:after="0"/>
        <w:ind w:firstLine="708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color w:val="00000A"/>
          <w:sz w:val="24"/>
          <w:szCs w:val="24"/>
        </w:rPr>
        <w:t>Десневая киста, киста новорожденного, узелок Бона - заболевание врожденное.</w:t>
      </w:r>
      <w:r>
        <w:rPr>
          <w:rFonts w:eastAsia="Times New Roman"/>
          <w:b/>
          <w:color w:val="00000A"/>
          <w:sz w:val="24"/>
          <w:szCs w:val="24"/>
        </w:rPr>
        <w:t xml:space="preserve"> </w:t>
      </w:r>
      <w:r>
        <w:rPr>
          <w:rFonts w:eastAsia="Times New Roman"/>
          <w:color w:val="00000A"/>
          <w:sz w:val="24"/>
          <w:szCs w:val="24"/>
        </w:rPr>
        <w:t xml:space="preserve">Развитие кисты происходит из зубообразующей пластинки в результате нарушения ее пролиферации. </w:t>
      </w:r>
      <w:r>
        <w:rPr>
          <w:rFonts w:eastAsia="Times New Roman"/>
          <w:sz w:val="24"/>
          <w:szCs w:val="24"/>
        </w:rPr>
        <w:t>[1, 5]</w:t>
      </w:r>
    </w:p>
    <w:p>
      <w:pPr>
        <w:pStyle w:val="2"/>
        <w:ind w:hanging="0"/>
        <w:rPr/>
      </w:pPr>
      <w:bookmarkStart w:id="13" w:name="__RefHeading___Toc10507_2770555280"/>
      <w:bookmarkStart w:id="14" w:name="_2et92p0"/>
      <w:bookmarkEnd w:id="13"/>
      <w:bookmarkEnd w:id="14"/>
      <w:r>
        <w:rPr/>
        <w:t>1.3 Эпидемиология заболевания или состояния</w:t>
      </w:r>
    </w:p>
    <w:p>
      <w:pPr>
        <w:pStyle w:val="Normal"/>
        <w:spacing w:lineRule="auto" w:line="360" w:before="0" w:after="0"/>
        <w:ind w:firstLine="708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Распространенность фолликулярных кист составляет 8% от общего числа больных с кистами челюстей. [2]</w:t>
      </w:r>
    </w:p>
    <w:p>
      <w:pPr>
        <w:pStyle w:val="2"/>
        <w:ind w:hanging="0"/>
        <w:rPr/>
      </w:pPr>
      <w:bookmarkStart w:id="15" w:name="__RefHeading___Toc10509_2770555280"/>
      <w:bookmarkStart w:id="16" w:name="_tyjcwt"/>
      <w:bookmarkEnd w:id="15"/>
      <w:bookmarkEnd w:id="16"/>
      <w:r>
        <w:rPr/>
        <w:t>1.4 Особенности кодирования заболевания или состояния по Международной статистической классификации болезней и проблем, связанных со здоровьем</w:t>
      </w:r>
    </w:p>
    <w:p>
      <w:pPr>
        <w:pStyle w:val="Normal"/>
        <w:spacing w:lineRule="auto" w:line="360" w:before="0" w:after="0"/>
        <w:jc w:val="both"/>
        <w:rPr>
          <w:rFonts w:eastAsia="Times New Roman"/>
          <w:i/>
          <w:i/>
          <w:sz w:val="24"/>
          <w:szCs w:val="24"/>
        </w:rPr>
      </w:pPr>
      <w:r>
        <w:rPr>
          <w:rFonts w:eastAsia="Times New Roman"/>
          <w:i/>
          <w:sz w:val="24"/>
          <w:szCs w:val="24"/>
        </w:rPr>
        <w:t>Международная классификация стоматологических болезней МКБ-10</w:t>
      </w:r>
    </w:p>
    <w:p>
      <w:pPr>
        <w:pStyle w:val="Normal"/>
        <w:spacing w:lineRule="auto" w:line="360" w:before="0" w:after="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К09.0 Кисты, образовавшиеся в процессе формирования зубов</w:t>
      </w:r>
    </w:p>
    <w:p>
      <w:pPr>
        <w:pStyle w:val="Normal"/>
        <w:spacing w:lineRule="auto" w:line="360" w:before="0" w:after="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К09.03 Фолликулярная киста</w:t>
      </w:r>
    </w:p>
    <w:p>
      <w:pPr>
        <w:pStyle w:val="Normal"/>
        <w:spacing w:lineRule="auto" w:line="360" w:before="0" w:after="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К09.09 Одонтогенная киста, образовавшаяся в процессе формирования зубов неуточненная</w:t>
      </w:r>
    </w:p>
    <w:p>
      <w:pPr>
        <w:pStyle w:val="2"/>
        <w:numPr>
          <w:ilvl w:val="0"/>
          <w:numId w:val="1"/>
        </w:numPr>
        <w:rPr/>
      </w:pPr>
      <w:bookmarkStart w:id="17" w:name="__RefHeading___Toc10511_2770555280"/>
      <w:bookmarkStart w:id="18" w:name="_3dy6vkm"/>
      <w:bookmarkEnd w:id="17"/>
      <w:bookmarkEnd w:id="18"/>
      <w:r>
        <w:rPr/>
        <w:t>Классификация заболевания или состояния</w:t>
      </w:r>
    </w:p>
    <w:p>
      <w:pPr>
        <w:pStyle w:val="Normal"/>
        <w:numPr>
          <w:ilvl w:val="1"/>
          <w:numId w:val="11"/>
        </w:numPr>
        <w:spacing w:lineRule="auto" w:line="360" w:before="0" w:after="0"/>
        <w:ind w:left="708" w:hanging="283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дентальная - одонтогенная киста, окружающая непрорезавшийся зуб (обычно содержит коронку нормально сформированного зуба);</w:t>
      </w:r>
    </w:p>
    <w:p>
      <w:pPr>
        <w:pStyle w:val="Normal"/>
        <w:numPr>
          <w:ilvl w:val="1"/>
          <w:numId w:val="11"/>
        </w:numPr>
        <w:spacing w:lineRule="auto" w:line="360" w:before="0" w:after="0"/>
        <w:ind w:left="708" w:hanging="283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киста прорезывания - фолликулярная киста, представленная расширением пространства около коронки прорезывающегося (молочного или постоянного) зуба у детей. </w:t>
      </w:r>
    </w:p>
    <w:p>
      <w:pPr>
        <w:pStyle w:val="Normal"/>
        <w:numPr>
          <w:ilvl w:val="1"/>
          <w:numId w:val="11"/>
        </w:numPr>
        <w:spacing w:lineRule="auto" w:line="360" w:before="0" w:after="0"/>
        <w:ind w:left="708" w:hanging="283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десневая - эпителиальная киста, расположенная на слизистой оболочке верхней или нижней челюсти, заполнена кератином. [1]</w:t>
      </w:r>
    </w:p>
    <w:p>
      <w:pPr>
        <w:pStyle w:val="Normal"/>
        <w:spacing w:lineRule="auto" w:line="360" w:before="40" w:after="0"/>
        <w:ind w:left="720" w:hanging="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</w:r>
    </w:p>
    <w:p>
      <w:pPr>
        <w:pStyle w:val="2"/>
        <w:ind w:hanging="0"/>
        <w:rPr/>
      </w:pPr>
      <w:bookmarkStart w:id="19" w:name="__RefHeading___Toc10513_2770555280"/>
      <w:bookmarkStart w:id="20" w:name="_1t3h5sf"/>
      <w:bookmarkEnd w:id="19"/>
      <w:bookmarkEnd w:id="20"/>
      <w:r>
        <w:rPr/>
        <w:t>1.6 Клиническая картина заболевания или состояния</w:t>
      </w:r>
    </w:p>
    <w:p>
      <w:pPr>
        <w:pStyle w:val="Normal"/>
        <w:spacing w:lineRule="auto" w:line="360"/>
        <w:ind w:firstLine="708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При наличии узелка Бона родители ребенка обращают внимание на образование округлой формы, диаметром 1 - 3мм, с гладкой поверхностью, белесоватого цвета. </w:t>
      </w:r>
    </w:p>
    <w:p>
      <w:pPr>
        <w:pStyle w:val="Normal"/>
        <w:spacing w:lineRule="auto" w:line="360"/>
        <w:ind w:firstLine="708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При наличии фолликулярной кисты клиническая картина определяется видом, локализацией, размерами кисты, наличием или отсутствием осложнений в виде нагноения кисты, патологического перелома челюстей.</w:t>
      </w:r>
    </w:p>
    <w:p>
      <w:pPr>
        <w:pStyle w:val="Normal"/>
        <w:spacing w:lineRule="auto" w:line="360"/>
        <w:ind w:firstLine="708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При кистах небольшого размера жалобы могут отсутствовать. Появление жалоб обычно связано с возникновением деформации челюсти, подвижностью зубов, патологическим переломом. Жалобы могут быть на обострение воспалительных явлений, нагноение кист, “припухание” десны, общее недомогание, ощущение “инородного” тела, затруднение носового дыхания. Жалобы на чувство тяжести в средней зоне лица, головную боль на стороне поражения характерны для нагноившейся кисты, прорастающей в верхнечелюстную пазуху. В ряде случаев беспокоит чувство онемения или покалывания в области угла рта, участков слизистой оболочки альвеолярного отростка. Эти жалобы связаны с компрессией кистой ствола нижнего альвеолярного нерва. [1, 5]</w:t>
      </w:r>
    </w:p>
    <w:p>
      <w:pPr>
        <w:pStyle w:val="1"/>
        <w:spacing w:before="200" w:after="0"/>
        <w:jc w:val="center"/>
        <w:rPr/>
      </w:pPr>
      <w:bookmarkStart w:id="21" w:name="__RefHeading___Toc10515_2770555280"/>
      <w:bookmarkStart w:id="22" w:name="_mmb7z4k3nc0a"/>
      <w:bookmarkEnd w:id="21"/>
      <w:bookmarkEnd w:id="22"/>
      <w:r>
        <w:rPr/>
        <w:t xml:space="preserve"> </w:t>
      </w:r>
      <w:r>
        <w:rPr/>
        <w:t xml:space="preserve">2. Диагностика заболевания или состояния, медицинские показания и противопоказания к применению методов диагностики  </w:t>
      </w:r>
    </w:p>
    <w:p>
      <w:pPr>
        <w:pStyle w:val="Normal"/>
        <w:spacing w:lineRule="auto" w:line="360" w:before="0" w:after="0"/>
        <w:ind w:firstLine="708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Главная задача при диагностике заключается в выявлении клинических признаков наличия кисты, определении степени тяжести и выбора соответствующего метода лечения. </w:t>
      </w:r>
    </w:p>
    <w:p>
      <w:pPr>
        <w:pStyle w:val="Normal"/>
        <w:spacing w:lineRule="auto" w:line="360" w:before="0" w:after="0"/>
        <w:ind w:firstLine="708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Диагностика десневой кисты включает тщательный опрос родителей и осмотр ребенка.</w:t>
      </w:r>
    </w:p>
    <w:p>
      <w:pPr>
        <w:pStyle w:val="Normal"/>
        <w:spacing w:lineRule="auto" w:line="360" w:before="0" w:after="0"/>
        <w:ind w:firstLine="708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Диагностика фолликулярной кисты включает сбор анамнеза, клинический осмотр, опрос ребенка (по достижении 4 - летнего возраста) и дополнительные методы обследования.</w:t>
      </w:r>
    </w:p>
    <w:p>
      <w:pPr>
        <w:pStyle w:val="Normal"/>
        <w:spacing w:lineRule="auto" w:line="360" w:before="0" w:after="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Следует учитывать особенности диагностических мероприятий у детей:</w:t>
      </w:r>
    </w:p>
    <w:p>
      <w:pPr>
        <w:pStyle w:val="Normal"/>
        <w:numPr>
          <w:ilvl w:val="0"/>
          <w:numId w:val="3"/>
        </w:numPr>
        <w:spacing w:lineRule="auto" w:line="360" w:before="0" w:after="0"/>
        <w:ind w:left="708" w:hanging="283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различный уровень объективности получаемой при расспросе информации от ребенка и третьих лиц (родители по-разному интерпретируют жалобы и анамнез);</w:t>
      </w:r>
    </w:p>
    <w:p>
      <w:pPr>
        <w:pStyle w:val="Normal"/>
        <w:numPr>
          <w:ilvl w:val="0"/>
          <w:numId w:val="3"/>
        </w:numPr>
        <w:spacing w:lineRule="auto" w:line="360" w:before="0" w:after="0"/>
        <w:ind w:left="708" w:hanging="283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субъективность ощущений ребенка при проведении диагностических тестов;</w:t>
      </w:r>
    </w:p>
    <w:p>
      <w:pPr>
        <w:pStyle w:val="Normal"/>
        <w:numPr>
          <w:ilvl w:val="0"/>
          <w:numId w:val="3"/>
        </w:numPr>
        <w:spacing w:lineRule="auto" w:line="360" w:before="0" w:after="0"/>
        <w:ind w:left="708" w:hanging="283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различный уровень взаимодействия врача, пациента и родителей;</w:t>
      </w:r>
    </w:p>
    <w:p>
      <w:pPr>
        <w:pStyle w:val="Normal"/>
        <w:numPr>
          <w:ilvl w:val="0"/>
          <w:numId w:val="3"/>
        </w:numPr>
        <w:spacing w:lineRule="auto" w:line="360" w:before="0" w:after="0"/>
        <w:ind w:left="708" w:hanging="283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невозможность проведения сложных диагностических манипуляций из-за возрастных и психо - эмоциональных особенностей ребенка.</w:t>
      </w:r>
    </w:p>
    <w:p>
      <w:pPr>
        <w:pStyle w:val="Normal"/>
        <w:spacing w:lineRule="auto" w:line="360" w:before="0" w:after="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</w:r>
    </w:p>
    <w:p>
      <w:pPr>
        <w:pStyle w:val="2"/>
        <w:ind w:hanging="0"/>
        <w:rPr/>
      </w:pPr>
      <w:bookmarkStart w:id="23" w:name="__RefHeading___Toc10517_2770555280"/>
      <w:bookmarkStart w:id="24" w:name="_2s8eyo1"/>
      <w:bookmarkEnd w:id="23"/>
      <w:bookmarkEnd w:id="24"/>
      <w:r>
        <w:rPr/>
        <w:t>2.1 Жалобы и анамнез</w:t>
      </w:r>
    </w:p>
    <w:p>
      <w:pPr>
        <w:pStyle w:val="3"/>
        <w:spacing w:lineRule="auto" w:line="360" w:before="280" w:after="0"/>
        <w:jc w:val="both"/>
        <w:rPr/>
      </w:pPr>
      <w:bookmarkStart w:id="25" w:name="__RefHeading___Toc10519_2770555280"/>
      <w:bookmarkStart w:id="26" w:name="_ucp4c915sr91"/>
      <w:bookmarkEnd w:id="25"/>
      <w:bookmarkEnd w:id="26"/>
      <w:r>
        <w:rPr/>
        <w:t>2.1.1 При сборе анамнеза необходимо учитывать:</w:t>
      </w:r>
    </w:p>
    <w:p>
      <w:pPr>
        <w:pStyle w:val="Normal"/>
        <w:numPr>
          <w:ilvl w:val="0"/>
          <w:numId w:val="4"/>
        </w:numPr>
        <w:spacing w:lineRule="auto" w:line="360" w:before="0" w:after="0"/>
        <w:ind w:left="720" w:hanging="294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возраст ребенка;</w:t>
      </w:r>
    </w:p>
    <w:p>
      <w:pPr>
        <w:pStyle w:val="Normal"/>
        <w:numPr>
          <w:ilvl w:val="0"/>
          <w:numId w:val="4"/>
        </w:numPr>
        <w:spacing w:lineRule="auto" w:line="360" w:before="0" w:after="0"/>
        <w:ind w:left="720" w:hanging="294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наличие сопутствующей патологии;</w:t>
      </w:r>
    </w:p>
    <w:p>
      <w:pPr>
        <w:pStyle w:val="Normal"/>
        <w:numPr>
          <w:ilvl w:val="0"/>
          <w:numId w:val="4"/>
        </w:numPr>
        <w:spacing w:lineRule="auto" w:line="360" w:before="0" w:after="0"/>
        <w:ind w:left="720" w:hanging="294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жалобы пациента;</w:t>
      </w:r>
    </w:p>
    <w:p>
      <w:pPr>
        <w:pStyle w:val="Normal"/>
        <w:numPr>
          <w:ilvl w:val="0"/>
          <w:numId w:val="4"/>
        </w:numPr>
        <w:spacing w:lineRule="auto" w:line="360" w:before="0" w:after="0"/>
        <w:ind w:left="720" w:hanging="294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давность и динамика заболевания;</w:t>
      </w:r>
    </w:p>
    <w:p>
      <w:pPr>
        <w:pStyle w:val="Normal"/>
        <w:numPr>
          <w:ilvl w:val="0"/>
          <w:numId w:val="4"/>
        </w:numPr>
        <w:spacing w:lineRule="auto" w:line="360" w:before="0" w:after="0"/>
        <w:ind w:left="720" w:hanging="294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наличие травмы в прошлом и в настоящее время;</w:t>
      </w:r>
    </w:p>
    <w:p>
      <w:pPr>
        <w:pStyle w:val="Normal"/>
        <w:numPr>
          <w:ilvl w:val="0"/>
          <w:numId w:val="4"/>
        </w:numPr>
        <w:spacing w:lineRule="auto" w:line="360" w:before="0" w:after="0"/>
        <w:ind w:left="720" w:hanging="294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наличие вредных привычек наличие соматических заболеваний и аллергических реакций, обязательно должна быть заполнена анкета о здоровье ребенка;</w:t>
      </w:r>
    </w:p>
    <w:p>
      <w:pPr>
        <w:pStyle w:val="Normal"/>
        <w:numPr>
          <w:ilvl w:val="0"/>
          <w:numId w:val="4"/>
        </w:numPr>
        <w:spacing w:lineRule="auto" w:line="360" w:before="0" w:after="0"/>
        <w:ind w:left="720" w:hanging="294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наличие непереносимости лекарственных препаратов и материалов, используемых на данном этапе лечения;</w:t>
      </w:r>
    </w:p>
    <w:p>
      <w:pPr>
        <w:pStyle w:val="Normal"/>
        <w:numPr>
          <w:ilvl w:val="0"/>
          <w:numId w:val="4"/>
        </w:numPr>
        <w:spacing w:lineRule="auto" w:line="360" w:before="0" w:after="0"/>
        <w:ind w:left="720" w:hanging="294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наличие и регулярность индивидуальной гигиены полости рта;</w:t>
      </w:r>
    </w:p>
    <w:p>
      <w:pPr>
        <w:pStyle w:val="Normal"/>
        <w:numPr>
          <w:ilvl w:val="0"/>
          <w:numId w:val="4"/>
        </w:numPr>
        <w:spacing w:lineRule="auto" w:line="360" w:before="0" w:after="0"/>
        <w:ind w:left="720" w:hanging="294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предыдущие обращения к стоматологу – как вел себя ребенок, как и в каком объеме проводилось лечение, применялось ли ранее местное обезболивание; </w:t>
      </w:r>
    </w:p>
    <w:p>
      <w:pPr>
        <w:pStyle w:val="Normal"/>
        <w:numPr>
          <w:ilvl w:val="0"/>
          <w:numId w:val="4"/>
        </w:numPr>
        <w:spacing w:lineRule="auto" w:line="360" w:before="0" w:after="0"/>
        <w:ind w:left="720" w:hanging="294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наличие или отсутствие ортодонтического лечения. [3]</w:t>
      </w:r>
    </w:p>
    <w:p>
      <w:pPr>
        <w:pStyle w:val="2"/>
        <w:ind w:hanging="0"/>
        <w:rPr/>
      </w:pPr>
      <w:bookmarkStart w:id="27" w:name="__RefHeading___Toc10521_2770555280"/>
      <w:bookmarkStart w:id="28" w:name="_17dp8vu"/>
      <w:bookmarkEnd w:id="27"/>
      <w:bookmarkEnd w:id="28"/>
      <w:r>
        <w:rPr/>
        <w:t>2.2 Физикальное обследование</w:t>
      </w:r>
    </w:p>
    <w:p>
      <w:pPr>
        <w:pStyle w:val="Normal"/>
        <w:spacing w:lineRule="auto" w:line="360"/>
        <w:jc w:val="both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 xml:space="preserve">При физикальном обследовании устанавливается </w:t>
      </w:r>
      <w:r>
        <w:rPr>
          <w:rFonts w:eastAsia="Times New Roman"/>
          <w:sz w:val="24"/>
          <w:szCs w:val="24"/>
        </w:rPr>
        <w:t>наличие припухлости, увеличение регионарных лимфатических узлов, выбухания кортикальной пластинки, подвижность зубов, изменения слизистой оболочки.</w:t>
      </w:r>
      <w:r>
        <w:rPr>
          <w:rFonts w:eastAsia="Times New Roman"/>
          <w:color w:val="000000"/>
          <w:sz w:val="24"/>
          <w:szCs w:val="24"/>
        </w:rPr>
        <w:t xml:space="preserve"> В зависимости от </w:t>
      </w:r>
      <w:r>
        <w:rPr>
          <w:rFonts w:eastAsia="Times New Roman"/>
          <w:sz w:val="24"/>
          <w:szCs w:val="24"/>
        </w:rPr>
        <w:t>клинической картины</w:t>
      </w:r>
      <w:r>
        <w:rPr>
          <w:rFonts w:eastAsia="Times New Roman"/>
          <w:color w:val="000000"/>
          <w:sz w:val="24"/>
          <w:szCs w:val="24"/>
        </w:rPr>
        <w:t xml:space="preserve"> выбирают метод лечения.</w:t>
      </w:r>
    </w:p>
    <w:p>
      <w:pPr>
        <w:pStyle w:val="Normal"/>
        <w:spacing w:lineRule="auto" w:line="360"/>
        <w:jc w:val="both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sz w:val="24"/>
          <w:szCs w:val="24"/>
        </w:rPr>
        <w:t>1.</w:t>
      </w:r>
      <w:r>
        <w:rPr>
          <w:rFonts w:eastAsia="Times New Roman"/>
          <w:color w:val="000000"/>
          <w:sz w:val="24"/>
          <w:szCs w:val="24"/>
        </w:rPr>
        <w:t xml:space="preserve"> внешний осмотр</w:t>
      </w:r>
    </w:p>
    <w:p>
      <w:pPr>
        <w:pStyle w:val="Normal"/>
        <w:numPr>
          <w:ilvl w:val="0"/>
          <w:numId w:val="10"/>
        </w:numPr>
        <w:spacing w:lineRule="auto" w:line="360" w:before="0" w:after="0"/>
        <w:ind w:left="720" w:hanging="294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возможно нарушение конфигурации лица за счет врожденных заболеван</w:t>
      </w:r>
      <w:r>
        <w:rPr>
          <w:rFonts w:eastAsia="Times New Roman"/>
          <w:sz w:val="24"/>
          <w:szCs w:val="24"/>
        </w:rPr>
        <w:t>ий, сопутствующей общесоматической патологии, нарушении прикуса;</w:t>
      </w:r>
    </w:p>
    <w:p>
      <w:pPr>
        <w:pStyle w:val="Normal"/>
        <w:numPr>
          <w:ilvl w:val="0"/>
          <w:numId w:val="10"/>
        </w:numPr>
        <w:spacing w:lineRule="auto" w:line="360"/>
        <w:ind w:left="720" w:hanging="294"/>
        <w:jc w:val="both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наличие травматического повреждения кожи, губ (ссадины, гематомы).</w:t>
      </w:r>
    </w:p>
    <w:p>
      <w:pPr>
        <w:pStyle w:val="Normal"/>
        <w:spacing w:lineRule="auto" w:line="360"/>
        <w:jc w:val="both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 xml:space="preserve"> </w:t>
      </w:r>
      <w:r>
        <w:rPr>
          <w:rFonts w:eastAsia="Times New Roman"/>
          <w:color w:val="000000"/>
          <w:sz w:val="24"/>
          <w:szCs w:val="24"/>
        </w:rPr>
        <w:t>2. внутриротовое обследование</w:t>
      </w:r>
    </w:p>
    <w:p>
      <w:pPr>
        <w:pStyle w:val="Normal"/>
        <w:numPr>
          <w:ilvl w:val="0"/>
          <w:numId w:val="8"/>
        </w:numPr>
        <w:spacing w:lineRule="auto" w:line="360" w:before="0" w:after="0"/>
        <w:ind w:left="720" w:hanging="294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 xml:space="preserve">осмотр слизистой оболочки </w:t>
      </w:r>
      <w:r>
        <w:rPr>
          <w:rFonts w:eastAsia="Times New Roman"/>
          <w:sz w:val="24"/>
          <w:szCs w:val="24"/>
        </w:rPr>
        <w:t>полости рта, языка, уздечки языка, дна полости рта (</w:t>
      </w:r>
      <w:r>
        <w:rPr>
          <w:rFonts w:eastAsia="Times New Roman"/>
          <w:color w:val="000000"/>
          <w:sz w:val="24"/>
          <w:szCs w:val="24"/>
        </w:rPr>
        <w:t xml:space="preserve">выявление </w:t>
      </w:r>
      <w:r>
        <w:rPr>
          <w:rFonts w:eastAsia="Times New Roman"/>
          <w:sz w:val="24"/>
          <w:szCs w:val="24"/>
        </w:rPr>
        <w:t>явлений воспалительных заболеваний слизистой оболочки полости рта, выявления рубцов уздечки языка после ранее проведенных операций);</w:t>
      </w:r>
    </w:p>
    <w:p>
      <w:pPr>
        <w:pStyle w:val="Normal"/>
        <w:numPr>
          <w:ilvl w:val="0"/>
          <w:numId w:val="8"/>
        </w:numPr>
        <w:spacing w:lineRule="auto" w:line="360" w:before="0" w:after="0"/>
        <w:ind w:left="720" w:hanging="294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изменение коронков</w:t>
      </w:r>
      <w:r>
        <w:rPr>
          <w:rFonts w:eastAsia="Times New Roman"/>
          <w:sz w:val="24"/>
          <w:szCs w:val="24"/>
        </w:rPr>
        <w:t>ых частей зубов  (</w:t>
      </w:r>
      <w:r>
        <w:rPr>
          <w:rFonts w:eastAsia="Times New Roman"/>
          <w:color w:val="000000"/>
          <w:sz w:val="24"/>
          <w:szCs w:val="24"/>
        </w:rPr>
        <w:t>изменение цвета зуба, наличие отлома коронки, трещины в твердых тканях, положение зуба в зубном ряду)</w:t>
      </w:r>
      <w:r>
        <w:rPr>
          <w:rFonts w:eastAsia="Times New Roman"/>
          <w:sz w:val="24"/>
          <w:szCs w:val="24"/>
        </w:rPr>
        <w:t>;</w:t>
      </w:r>
    </w:p>
    <w:p>
      <w:pPr>
        <w:pStyle w:val="Normal"/>
        <w:numPr>
          <w:ilvl w:val="0"/>
          <w:numId w:val="8"/>
        </w:numPr>
        <w:spacing w:lineRule="auto" w:line="360" w:before="0" w:after="0"/>
        <w:ind w:left="720" w:hanging="294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 xml:space="preserve">обнаружение и исследование кариозной полости </w:t>
      </w:r>
      <w:r>
        <w:rPr>
          <w:rFonts w:eastAsia="Times New Roman"/>
          <w:sz w:val="24"/>
          <w:szCs w:val="24"/>
        </w:rPr>
        <w:t>(</w:t>
      </w:r>
      <w:r>
        <w:rPr>
          <w:rFonts w:eastAsia="Times New Roman"/>
          <w:color w:val="000000"/>
          <w:sz w:val="24"/>
          <w:szCs w:val="24"/>
        </w:rPr>
        <w:t>расположение, глубина, наличие сообщения с полостью зуба, болезненность при зондировании, наличие грануляционной ткани);</w:t>
      </w:r>
    </w:p>
    <w:p>
      <w:pPr>
        <w:pStyle w:val="Normal"/>
        <w:numPr>
          <w:ilvl w:val="0"/>
          <w:numId w:val="8"/>
        </w:numPr>
        <w:spacing w:lineRule="auto" w:line="360"/>
        <w:ind w:left="720" w:hanging="294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оценка состояния всех имеющихся зубов</w:t>
      </w:r>
      <w:r>
        <w:rPr>
          <w:rFonts w:eastAsia="Times New Roman"/>
          <w:sz w:val="24"/>
          <w:szCs w:val="24"/>
        </w:rPr>
        <w:t xml:space="preserve"> (п</w:t>
      </w:r>
      <w:r>
        <w:rPr>
          <w:rFonts w:eastAsia="Times New Roman"/>
          <w:color w:val="000000"/>
          <w:sz w:val="24"/>
          <w:szCs w:val="24"/>
        </w:rPr>
        <w:t>ри осмотре зуба выявляется перелом коронки различной степени, изменение положения зуба в зубном ряду, что говорит о перенесенной травме).</w:t>
      </w:r>
    </w:p>
    <w:p>
      <w:pPr>
        <w:pStyle w:val="Normal"/>
        <w:spacing w:lineRule="auto" w:line="36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Целенаправленно выявляют:</w:t>
      </w:r>
    </w:p>
    <w:p>
      <w:pPr>
        <w:pStyle w:val="Normal"/>
        <w:numPr>
          <w:ilvl w:val="0"/>
          <w:numId w:val="12"/>
        </w:numPr>
        <w:spacing w:lineRule="auto" w:line="360" w:before="0" w:after="0"/>
        <w:ind w:left="720" w:hanging="294"/>
        <w:jc w:val="both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неадекватное психоэмоциональное состояние пациента перед лечением;</w:t>
      </w:r>
    </w:p>
    <w:p>
      <w:pPr>
        <w:pStyle w:val="Normal"/>
        <w:numPr>
          <w:ilvl w:val="0"/>
          <w:numId w:val="12"/>
        </w:numPr>
        <w:spacing w:lineRule="auto" w:line="360" w:before="0" w:after="0"/>
        <w:ind w:left="720" w:hanging="294"/>
        <w:jc w:val="both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острые поражения слизистой оболочки рта и красной каймы губ;</w:t>
      </w:r>
    </w:p>
    <w:p>
      <w:pPr>
        <w:pStyle w:val="Normal"/>
        <w:numPr>
          <w:ilvl w:val="0"/>
          <w:numId w:val="12"/>
        </w:numPr>
        <w:spacing w:lineRule="auto" w:line="360" w:before="0" w:after="0"/>
        <w:ind w:left="720" w:hanging="294"/>
        <w:jc w:val="both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острые воспалительные заболевания органов и тканей рта;</w:t>
      </w:r>
    </w:p>
    <w:p>
      <w:pPr>
        <w:pStyle w:val="Normal"/>
        <w:numPr>
          <w:ilvl w:val="0"/>
          <w:numId w:val="12"/>
        </w:numPr>
        <w:spacing w:lineRule="auto" w:line="360" w:before="0" w:after="0"/>
        <w:ind w:left="720" w:hanging="294"/>
        <w:jc w:val="both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заболевания тканей пародонта в стадии обострения;</w:t>
      </w:r>
    </w:p>
    <w:p>
      <w:pPr>
        <w:pStyle w:val="Normal"/>
        <w:numPr>
          <w:ilvl w:val="0"/>
          <w:numId w:val="12"/>
        </w:numPr>
        <w:spacing w:lineRule="auto" w:line="360" w:before="0" w:after="0"/>
        <w:ind w:left="720" w:hanging="294"/>
        <w:jc w:val="both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неудовлетворительное гигиеническое состояние рта;</w:t>
      </w:r>
    </w:p>
    <w:p>
      <w:pPr>
        <w:pStyle w:val="Normal"/>
        <w:numPr>
          <w:ilvl w:val="0"/>
          <w:numId w:val="12"/>
        </w:numPr>
        <w:spacing w:lineRule="auto" w:line="360"/>
        <w:ind w:left="720" w:hanging="294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отказ от лечения.  [</w:t>
      </w:r>
      <w:r>
        <w:rPr>
          <w:rFonts w:eastAsia="Times New Roman"/>
          <w:sz w:val="24"/>
          <w:szCs w:val="24"/>
        </w:rPr>
        <w:t>3</w:t>
      </w:r>
      <w:r>
        <w:rPr>
          <w:rFonts w:eastAsia="Times New Roman"/>
          <w:color w:val="000000"/>
          <w:sz w:val="24"/>
          <w:szCs w:val="24"/>
        </w:rPr>
        <w:t xml:space="preserve">]  </w:t>
      </w:r>
    </w:p>
    <w:p>
      <w:pPr>
        <w:pStyle w:val="2"/>
        <w:ind w:hanging="0"/>
        <w:rPr/>
      </w:pPr>
      <w:bookmarkStart w:id="29" w:name="__RefHeading___Toc10523_2770555280"/>
      <w:bookmarkStart w:id="30" w:name="_3rdcrjn"/>
      <w:bookmarkEnd w:id="29"/>
      <w:bookmarkEnd w:id="30"/>
      <w:r>
        <w:rPr/>
        <w:t>2.3 Лабораторные диагностические исследования</w:t>
      </w:r>
    </w:p>
    <w:p>
      <w:pPr>
        <w:pStyle w:val="Normal"/>
        <w:spacing w:lineRule="auto" w:line="360"/>
        <w:ind w:firstLine="708"/>
        <w:jc w:val="both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sz w:val="24"/>
          <w:szCs w:val="24"/>
        </w:rPr>
        <w:t>После выявления фолликулярных кист при подозрении на малигнизацию проводится цитологическое исследование пунктата. [1]</w:t>
      </w:r>
    </w:p>
    <w:p>
      <w:pPr>
        <w:pStyle w:val="2"/>
        <w:ind w:hanging="0"/>
        <w:rPr/>
      </w:pPr>
      <w:bookmarkStart w:id="31" w:name="__RefHeading___Toc10525_2770555280"/>
      <w:bookmarkStart w:id="32" w:name="_26in1rg"/>
      <w:bookmarkEnd w:id="31"/>
      <w:bookmarkEnd w:id="32"/>
      <w:r>
        <w:rPr/>
        <w:t>2.4 Инструментальные диагностические исследования</w:t>
      </w:r>
    </w:p>
    <w:p>
      <w:pPr>
        <w:pStyle w:val="Normal"/>
        <w:spacing w:lineRule="auto" w:line="360" w:before="0" w:after="0"/>
        <w:ind w:firstLine="708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Для выявления фолликулярных кист используют:</w:t>
      </w:r>
    </w:p>
    <w:p>
      <w:pPr>
        <w:pStyle w:val="Normal"/>
        <w:numPr>
          <w:ilvl w:val="0"/>
          <w:numId w:val="21"/>
        </w:numPr>
        <w:spacing w:lineRule="auto" w:line="360" w:before="0" w:after="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прицельную рентгенографию;</w:t>
      </w:r>
    </w:p>
    <w:p>
      <w:pPr>
        <w:pStyle w:val="Normal"/>
        <w:numPr>
          <w:ilvl w:val="0"/>
          <w:numId w:val="21"/>
        </w:numPr>
        <w:spacing w:lineRule="auto" w:line="360" w:before="0" w:after="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боковой снимок;</w:t>
      </w:r>
    </w:p>
    <w:p>
      <w:pPr>
        <w:pStyle w:val="Normal"/>
        <w:numPr>
          <w:ilvl w:val="0"/>
          <w:numId w:val="21"/>
        </w:numPr>
        <w:spacing w:lineRule="auto" w:line="360" w:before="0" w:after="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внутриротовой снимок “на прикус”;</w:t>
      </w:r>
    </w:p>
    <w:p>
      <w:pPr>
        <w:pStyle w:val="Normal"/>
        <w:numPr>
          <w:ilvl w:val="0"/>
          <w:numId w:val="21"/>
        </w:numPr>
        <w:spacing w:lineRule="auto" w:line="360" w:before="0" w:after="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снимок околоносовых пазух;</w:t>
      </w:r>
    </w:p>
    <w:p>
      <w:pPr>
        <w:pStyle w:val="Normal"/>
        <w:numPr>
          <w:ilvl w:val="0"/>
          <w:numId w:val="21"/>
        </w:numPr>
        <w:spacing w:lineRule="auto" w:line="360" w:before="0" w:after="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снимок черепа в прямой проекции;</w:t>
      </w:r>
    </w:p>
    <w:p>
      <w:pPr>
        <w:pStyle w:val="Normal"/>
        <w:numPr>
          <w:ilvl w:val="0"/>
          <w:numId w:val="21"/>
        </w:numPr>
        <w:spacing w:lineRule="auto" w:line="360" w:before="0" w:after="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передний снимок нижней челюсти</w:t>
      </w:r>
    </w:p>
    <w:p>
      <w:pPr>
        <w:pStyle w:val="Normal"/>
        <w:numPr>
          <w:ilvl w:val="0"/>
          <w:numId w:val="21"/>
        </w:numPr>
        <w:spacing w:lineRule="auto" w:line="360" w:before="0" w:after="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обзорную рентгенографию;</w:t>
      </w:r>
    </w:p>
    <w:p>
      <w:pPr>
        <w:pStyle w:val="Normal"/>
        <w:numPr>
          <w:ilvl w:val="0"/>
          <w:numId w:val="21"/>
        </w:numPr>
        <w:spacing w:lineRule="auto" w:line="360" w:before="0" w:after="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компьютерную томографию;</w:t>
      </w:r>
    </w:p>
    <w:p>
      <w:pPr>
        <w:pStyle w:val="Normal"/>
        <w:numPr>
          <w:ilvl w:val="0"/>
          <w:numId w:val="21"/>
        </w:numPr>
        <w:spacing w:lineRule="auto" w:line="360" w:before="0" w:after="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ЭОД. [1]</w:t>
      </w:r>
    </w:p>
    <w:p>
      <w:pPr>
        <w:pStyle w:val="Normal"/>
        <w:spacing w:lineRule="auto" w:line="360" w:before="0" w:after="0"/>
        <w:jc w:val="both"/>
        <w:rPr>
          <w:rFonts w:eastAsia="Times New Roman"/>
          <w:b/>
          <w:b/>
          <w:color w:val="00000A"/>
          <w:sz w:val="24"/>
          <w:szCs w:val="24"/>
        </w:rPr>
      </w:pPr>
      <w:r>
        <w:rPr>
          <w:rFonts w:eastAsia="Times New Roman"/>
          <w:b/>
          <w:color w:val="00000A"/>
          <w:sz w:val="24"/>
          <w:szCs w:val="24"/>
        </w:rPr>
        <w:t>Уровень убедительности B (уровень достоверности доказательств – 2)</w:t>
      </w:r>
    </w:p>
    <w:p>
      <w:pPr>
        <w:pStyle w:val="2"/>
        <w:ind w:hanging="0"/>
        <w:rPr>
          <w:i/>
          <w:i/>
        </w:rPr>
      </w:pPr>
      <w:bookmarkStart w:id="33" w:name="__RefHeading___Toc10527_2770555280"/>
      <w:bookmarkStart w:id="34" w:name="_lnxbz9"/>
      <w:bookmarkEnd w:id="33"/>
      <w:bookmarkEnd w:id="34"/>
      <w:r>
        <w:rPr/>
        <w:t>2.5 Иные диагностические исследования</w:t>
      </w:r>
    </w:p>
    <w:p>
      <w:pPr>
        <w:pStyle w:val="3"/>
        <w:spacing w:lineRule="auto" w:line="360"/>
        <w:jc w:val="both"/>
        <w:rPr/>
      </w:pPr>
      <w:bookmarkStart w:id="35" w:name="__RefHeading___Toc10529_2770555280"/>
      <w:bookmarkStart w:id="36" w:name="_bm23e4mu8bja"/>
      <w:bookmarkEnd w:id="35"/>
      <w:bookmarkEnd w:id="36"/>
      <w:r>
        <w:rPr/>
        <w:t>2.5.1. фото- и видеосъемка с помощью внутриротовой видеокамеры</w:t>
      </w:r>
    </w:p>
    <w:p>
      <w:pPr>
        <w:pStyle w:val="Normal"/>
        <w:spacing w:lineRule="auto" w:line="360"/>
        <w:ind w:firstLine="708"/>
        <w:jc w:val="both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Позволяет обнаружить, оценить патологические изменения слизистой оболочки полости рта, визуализировать результаты исследования на экране, обсудить их с пациентом и его представителями, произвести фотографирование непосредственно в полости рта</w:t>
      </w:r>
      <w:r>
        <w:rPr>
          <w:rFonts w:eastAsia="Times New Roman"/>
          <w:sz w:val="24"/>
          <w:szCs w:val="24"/>
        </w:rPr>
        <w:t>.</w:t>
      </w:r>
    </w:p>
    <w:p>
      <w:pPr>
        <w:pStyle w:val="Normal"/>
        <w:spacing w:lineRule="auto" w:line="360" w:before="0" w:after="0"/>
        <w:jc w:val="both"/>
        <w:rPr>
          <w:rFonts w:eastAsia="Times New Roman"/>
          <w:b/>
          <w:b/>
          <w:color w:val="00000A"/>
          <w:sz w:val="24"/>
          <w:szCs w:val="24"/>
        </w:rPr>
      </w:pPr>
      <w:r>
        <w:rPr>
          <w:rFonts w:eastAsia="Times New Roman"/>
          <w:b/>
          <w:color w:val="00000A"/>
          <w:sz w:val="24"/>
          <w:szCs w:val="24"/>
        </w:rPr>
        <w:t>Уровень убедительности B (уровень достоверности доказательств – 2)</w:t>
      </w:r>
    </w:p>
    <w:p>
      <w:pPr>
        <w:pStyle w:val="1"/>
        <w:keepLines/>
        <w:jc w:val="center"/>
        <w:rPr/>
      </w:pPr>
      <w:bookmarkStart w:id="37" w:name="__RefHeading___Toc10531_2770555280"/>
      <w:bookmarkStart w:id="38" w:name="_35nkun2"/>
      <w:bookmarkEnd w:id="37"/>
      <w:bookmarkEnd w:id="38"/>
      <w:r>
        <w:rPr/>
        <w:t>3. Лечение, включая медикаментозную  и не медикаментозную терапии, диетотерапию, обезболивание, медицинские показания  и противопоказания к применению методов лечения</w:t>
      </w:r>
    </w:p>
    <w:p>
      <w:pPr>
        <w:pStyle w:val="Normal"/>
        <w:spacing w:lineRule="auto" w:line="36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Существует три основных вида оперативных вмешательств по поводу одонтогенных кист челюстей:</w:t>
      </w:r>
    </w:p>
    <w:p>
      <w:pPr>
        <w:pStyle w:val="Normal"/>
        <w:numPr>
          <w:ilvl w:val="0"/>
          <w:numId w:val="20"/>
        </w:numPr>
        <w:spacing w:lineRule="auto" w:line="360" w:before="0" w:after="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цистотомия;</w:t>
      </w:r>
    </w:p>
    <w:p>
      <w:pPr>
        <w:pStyle w:val="Normal"/>
        <w:numPr>
          <w:ilvl w:val="0"/>
          <w:numId w:val="20"/>
        </w:numPr>
        <w:spacing w:lineRule="auto" w:line="360" w:before="0" w:after="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цистэктомия (закрытый и открытый способ ведения костной раны);</w:t>
      </w:r>
    </w:p>
    <w:p>
      <w:pPr>
        <w:pStyle w:val="Normal"/>
        <w:numPr>
          <w:ilvl w:val="0"/>
          <w:numId w:val="20"/>
        </w:numPr>
        <w:spacing w:lineRule="auto" w:line="36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цистотомия [1]</w:t>
      </w:r>
    </w:p>
    <w:p>
      <w:pPr>
        <w:pStyle w:val="Normal"/>
        <w:spacing w:lineRule="auto" w:line="36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Процесс лечения завершается рекомендациями по срокам повторного обращения, профилактике возможных осложнений и возможной реабилитации пациента.</w:t>
      </w:r>
    </w:p>
    <w:p>
      <w:pPr>
        <w:pStyle w:val="2"/>
        <w:rPr/>
      </w:pPr>
      <w:bookmarkStart w:id="39" w:name="__RefHeading___Toc10533_2770555280"/>
      <w:bookmarkStart w:id="40" w:name="_1ksv4uv"/>
      <w:bookmarkEnd w:id="39"/>
      <w:bookmarkEnd w:id="40"/>
      <w:r>
        <w:rPr/>
        <w:t>3.1 Консервативное лечение</w:t>
      </w:r>
    </w:p>
    <w:p>
      <w:pPr>
        <w:pStyle w:val="Normal"/>
        <w:shd w:val="clear" w:color="auto" w:fill="FFFFFF"/>
        <w:spacing w:lineRule="auto" w:line="360" w:before="0" w:after="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При наличии десневой кисты у новорожденного рекомендовано наблюдение за образованием, самостоятельная резорбция кисты происходит до 3 месяцев жизни ребенка.</w:t>
      </w:r>
    </w:p>
    <w:p>
      <w:pPr>
        <w:pStyle w:val="Normal"/>
        <w:shd w:val="clear" w:color="auto" w:fill="FFFFFF"/>
        <w:spacing w:lineRule="auto" w:line="360" w:before="0" w:after="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Консервативное методы лечения при фолликулярных кистах не предусмотрены [1, 5, </w:t>
      </w:r>
      <w:r>
        <w:rPr>
          <w:rFonts w:eastAsia="Times New Roman"/>
          <w:sz w:val="24"/>
          <w:szCs w:val="24"/>
        </w:rPr>
        <w:t>6</w:t>
      </w:r>
      <w:r>
        <w:rPr>
          <w:rFonts w:eastAsia="Times New Roman"/>
          <w:sz w:val="24"/>
          <w:szCs w:val="24"/>
        </w:rPr>
        <w:t>].</w:t>
      </w:r>
    </w:p>
    <w:p>
      <w:pPr>
        <w:pStyle w:val="Normal"/>
        <w:shd w:val="clear" w:color="auto" w:fill="FFFFFF"/>
        <w:spacing w:lineRule="auto" w:line="360" w:before="0" w:after="0"/>
        <w:jc w:val="both"/>
        <w:rPr>
          <w:rFonts w:eastAsia="Times New Roman"/>
          <w:b/>
          <w:b/>
          <w:color w:val="00000A"/>
          <w:sz w:val="24"/>
          <w:szCs w:val="24"/>
        </w:rPr>
      </w:pPr>
      <w:r>
        <w:rPr>
          <w:rFonts w:eastAsia="Times New Roman"/>
          <w:b/>
          <w:color w:val="00000A"/>
          <w:sz w:val="24"/>
          <w:szCs w:val="24"/>
        </w:rPr>
        <w:t>Уровень убедительности B (уровень достоверности доказательств – 2)</w:t>
      </w:r>
    </w:p>
    <w:p>
      <w:pPr>
        <w:pStyle w:val="2"/>
        <w:ind w:hanging="0"/>
        <w:rPr/>
      </w:pPr>
      <w:bookmarkStart w:id="41" w:name="__RefHeading___Toc10535_2770555280"/>
      <w:bookmarkStart w:id="42" w:name="_44sinio"/>
      <w:bookmarkEnd w:id="41"/>
      <w:bookmarkEnd w:id="42"/>
      <w:r>
        <w:rPr/>
        <w:t>3.2 Хирургическое лечение</w:t>
      </w:r>
    </w:p>
    <w:p>
      <w:pPr>
        <w:pStyle w:val="Normal"/>
        <w:spacing w:lineRule="auto" w:line="360" w:before="0" w:after="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Существует несколько видов операций:</w:t>
      </w:r>
    </w:p>
    <w:p>
      <w:pPr>
        <w:pStyle w:val="Normal"/>
        <w:numPr>
          <w:ilvl w:val="0"/>
          <w:numId w:val="15"/>
        </w:numPr>
        <w:spacing w:lineRule="auto" w:line="360" w:before="0" w:after="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цистотомия;</w:t>
      </w:r>
    </w:p>
    <w:p>
      <w:pPr>
        <w:pStyle w:val="Normal"/>
        <w:numPr>
          <w:ilvl w:val="0"/>
          <w:numId w:val="15"/>
        </w:numPr>
        <w:spacing w:lineRule="auto" w:line="360" w:before="0" w:after="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цистэктомия;</w:t>
      </w:r>
    </w:p>
    <w:p>
      <w:pPr>
        <w:pStyle w:val="Normal"/>
        <w:numPr>
          <w:ilvl w:val="0"/>
          <w:numId w:val="15"/>
        </w:numPr>
        <w:spacing w:lineRule="auto" w:line="36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цистостомия [1]</w:t>
      </w:r>
    </w:p>
    <w:p>
      <w:pPr>
        <w:pStyle w:val="Normal"/>
        <w:spacing w:lineRule="auto" w:line="360" w:before="0" w:after="0"/>
        <w:jc w:val="both"/>
        <w:rPr>
          <w:rFonts w:eastAsia="Times New Roman"/>
          <w:b/>
          <w:b/>
          <w:color w:val="00000A"/>
          <w:sz w:val="24"/>
          <w:szCs w:val="24"/>
        </w:rPr>
      </w:pPr>
      <w:r>
        <w:rPr>
          <w:rFonts w:eastAsia="Times New Roman"/>
          <w:b/>
          <w:color w:val="00000A"/>
          <w:sz w:val="24"/>
          <w:szCs w:val="24"/>
        </w:rPr>
        <w:t>Уровень убедительности B (уровень достоверности доказательств – 2)</w:t>
      </w:r>
    </w:p>
    <w:p>
      <w:pPr>
        <w:pStyle w:val="Normal"/>
        <w:spacing w:lineRule="auto" w:line="360" w:before="0" w:after="0"/>
        <w:jc w:val="both"/>
        <w:rPr>
          <w:rFonts w:eastAsia="Times New Roman"/>
          <w:b/>
          <w:b/>
          <w:sz w:val="24"/>
          <w:szCs w:val="24"/>
        </w:rPr>
      </w:pPr>
      <w:r>
        <w:rPr>
          <w:rFonts w:eastAsia="Times New Roman"/>
          <w:b/>
          <w:sz w:val="24"/>
          <w:szCs w:val="24"/>
        </w:rPr>
        <w:t>Комментарии.</w:t>
      </w:r>
    </w:p>
    <w:p>
      <w:pPr>
        <w:pStyle w:val="3"/>
        <w:spacing w:lineRule="auto" w:line="360"/>
        <w:jc w:val="both"/>
        <w:rPr/>
      </w:pPr>
      <w:bookmarkStart w:id="43" w:name="__RefHeading___Toc10537_2770555280"/>
      <w:bookmarkStart w:id="44" w:name="_5gqj20cvi488"/>
      <w:bookmarkEnd w:id="43"/>
      <w:bookmarkEnd w:id="44"/>
      <w:r>
        <w:rPr/>
        <w:t>3.2.1. Алгоритм и особенности проведения хирургического вмешательства</w:t>
      </w:r>
    </w:p>
    <w:p>
      <w:pPr>
        <w:pStyle w:val="Normal"/>
        <w:spacing w:lineRule="auto" w:line="360" w:before="0" w:after="0"/>
        <w:jc w:val="both"/>
        <w:rPr>
          <w:rFonts w:eastAsia="Times New Roman"/>
          <w:i/>
          <w:i/>
          <w:sz w:val="24"/>
          <w:szCs w:val="24"/>
        </w:rPr>
      </w:pPr>
      <w:r>
        <w:rPr>
          <w:rFonts w:eastAsia="Times New Roman"/>
          <w:i/>
          <w:sz w:val="24"/>
          <w:szCs w:val="24"/>
        </w:rPr>
        <w:t>Перед проведением вмешательства проводится анестезия (аппликационная, инфильтрационная, проводниковая). Перед проведением инфильтрационной анестезии место вкола иглы обрабатывается аппликационным анестетиком.</w:t>
      </w:r>
    </w:p>
    <w:p>
      <w:pPr>
        <w:pStyle w:val="Normal"/>
        <w:spacing w:lineRule="auto" w:line="360" w:before="0" w:after="0"/>
        <w:jc w:val="both"/>
        <w:rPr>
          <w:rFonts w:eastAsia="Times New Roman"/>
          <w:i/>
          <w:i/>
          <w:sz w:val="24"/>
          <w:szCs w:val="24"/>
        </w:rPr>
      </w:pPr>
      <w:r>
        <w:rPr>
          <w:rFonts w:eastAsia="Times New Roman"/>
          <w:i/>
          <w:sz w:val="24"/>
          <w:szCs w:val="24"/>
        </w:rPr>
        <w:t>Особенности применения анестезии у детей:</w:t>
      </w:r>
    </w:p>
    <w:p>
      <w:pPr>
        <w:pStyle w:val="Normal"/>
        <w:numPr>
          <w:ilvl w:val="0"/>
          <w:numId w:val="5"/>
        </w:numPr>
        <w:spacing w:lineRule="auto" w:line="360" w:before="0" w:after="0"/>
        <w:jc w:val="both"/>
        <w:rPr>
          <w:rFonts w:eastAsia="Times New Roman"/>
          <w:i/>
          <w:i/>
          <w:sz w:val="24"/>
          <w:szCs w:val="24"/>
        </w:rPr>
      </w:pPr>
      <w:r>
        <w:rPr>
          <w:rFonts w:eastAsia="Times New Roman"/>
          <w:i/>
          <w:sz w:val="24"/>
          <w:szCs w:val="24"/>
        </w:rPr>
        <w:t>используются анестетики с низким содержанием вазоконстриктора или без вазоконстриктора.</w:t>
      </w:r>
    </w:p>
    <w:p>
      <w:pPr>
        <w:pStyle w:val="Normal"/>
        <w:numPr>
          <w:ilvl w:val="0"/>
          <w:numId w:val="5"/>
        </w:numPr>
        <w:spacing w:lineRule="auto" w:line="360" w:before="0" w:after="0"/>
        <w:jc w:val="both"/>
        <w:rPr>
          <w:rFonts w:eastAsia="Times New Roman"/>
          <w:i/>
          <w:i/>
          <w:sz w:val="24"/>
          <w:szCs w:val="24"/>
        </w:rPr>
      </w:pPr>
      <w:r>
        <w:rPr>
          <w:rFonts w:eastAsia="Times New Roman"/>
          <w:i/>
          <w:sz w:val="24"/>
          <w:szCs w:val="24"/>
        </w:rPr>
        <w:t>перед проведением инъекции желательно применение средств для аппликационной анестезии в виде гелей.</w:t>
      </w:r>
    </w:p>
    <w:p>
      <w:pPr>
        <w:pStyle w:val="Normal"/>
        <w:numPr>
          <w:ilvl w:val="0"/>
          <w:numId w:val="5"/>
        </w:numPr>
        <w:spacing w:lineRule="auto" w:line="360" w:before="0" w:after="0"/>
        <w:jc w:val="both"/>
        <w:rPr>
          <w:rFonts w:eastAsia="Times New Roman"/>
          <w:i/>
          <w:i/>
          <w:sz w:val="24"/>
          <w:szCs w:val="24"/>
        </w:rPr>
      </w:pPr>
      <w:r>
        <w:rPr>
          <w:rFonts w:eastAsia="Times New Roman"/>
          <w:i/>
          <w:sz w:val="24"/>
          <w:szCs w:val="24"/>
        </w:rPr>
        <w:t>если местная анестезия проводится впервые необходимо дать  понятные объяснения ребенку по поводу будущих ощущений (что онемение тканей будет временным и не представляет для него опасности), так как дети часто пугаются непривычных ощущений.</w:t>
      </w:r>
    </w:p>
    <w:p>
      <w:pPr>
        <w:pStyle w:val="Normal"/>
        <w:numPr>
          <w:ilvl w:val="0"/>
          <w:numId w:val="5"/>
        </w:numPr>
        <w:spacing w:lineRule="auto" w:line="360" w:before="0" w:after="0"/>
        <w:jc w:val="both"/>
        <w:rPr>
          <w:rFonts w:eastAsia="Times New Roman"/>
          <w:i/>
          <w:i/>
          <w:sz w:val="24"/>
          <w:szCs w:val="24"/>
        </w:rPr>
      </w:pPr>
      <w:r>
        <w:rPr>
          <w:rFonts w:eastAsia="Times New Roman"/>
          <w:i/>
          <w:sz w:val="24"/>
          <w:szCs w:val="24"/>
        </w:rPr>
        <w:t>необходимо дать рекомендации родителям по поведению проведения анестезии для предотвращения травматических повреждений слизистой оболочки полости рта.</w:t>
      </w:r>
    </w:p>
    <w:p>
      <w:pPr>
        <w:pStyle w:val="Normal"/>
        <w:numPr>
          <w:ilvl w:val="0"/>
          <w:numId w:val="15"/>
        </w:numPr>
        <w:spacing w:lineRule="auto" w:line="360" w:before="0" w:after="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цистостомия - рассечение стенки кисты с целью эвакуации ее содержимого. Эту операцию производят по экстренным показаниям при остром гнойно - воспалительном процессе. После стихания острых воспалительных  явлений края раны сближаются (срастаются), отток содержимого кисты прекращается, то есть вновь включаются механизмы роста кисты или образуется свищевой ход;</w:t>
      </w:r>
    </w:p>
    <w:p>
      <w:pPr>
        <w:pStyle w:val="Normal"/>
        <w:numPr>
          <w:ilvl w:val="0"/>
          <w:numId w:val="15"/>
        </w:numPr>
        <w:spacing w:lineRule="auto" w:line="360" w:before="0" w:after="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цистэктомия - удаление всей эпителиально - соединительной выстилки (оболочки кисты) костной полости. Операция завершается сближением краев раны слизистой оболочки альвеолярного отростка (закрытый способ ведения костной раны) либо костную полость заполняют тампоном (открытый способ);</w:t>
      </w:r>
    </w:p>
    <w:p>
      <w:pPr>
        <w:pStyle w:val="Normal"/>
        <w:numPr>
          <w:ilvl w:val="0"/>
          <w:numId w:val="15"/>
        </w:numPr>
        <w:spacing w:lineRule="auto" w:line="36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цистотомия - удаление (иссечение) части стенки кисты и создание условий для длительного сообщения (с полостью рта, полостью носа, верхнечелюстной пазухой), устраняющего основной механизм роста кисты - повышении гидростатического давления. [1]</w:t>
      </w:r>
    </w:p>
    <w:p>
      <w:pPr>
        <w:pStyle w:val="3"/>
        <w:spacing w:lineRule="auto" w:line="360"/>
        <w:jc w:val="both"/>
        <w:rPr/>
      </w:pPr>
      <w:bookmarkStart w:id="45" w:name="__RefHeading___Toc10539_2770555280"/>
      <w:bookmarkStart w:id="46" w:name="_qpcz2p493lkh"/>
      <w:bookmarkEnd w:id="45"/>
      <w:bookmarkEnd w:id="46"/>
      <w:r>
        <w:rPr/>
        <w:t>3.2.2. Осложнения во время операции и послеоперационном периоде</w:t>
      </w:r>
    </w:p>
    <w:p>
      <w:pPr>
        <w:pStyle w:val="Normal"/>
        <w:numPr>
          <w:ilvl w:val="0"/>
          <w:numId w:val="19"/>
        </w:numPr>
        <w:spacing w:lineRule="auto" w:line="360" w:before="0" w:after="0"/>
        <w:ind w:left="720" w:hanging="294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возникновение кровотечения из нижней альвеолярной артерии;</w:t>
      </w:r>
    </w:p>
    <w:p>
      <w:pPr>
        <w:pStyle w:val="Normal"/>
        <w:numPr>
          <w:ilvl w:val="0"/>
          <w:numId w:val="19"/>
        </w:numPr>
        <w:spacing w:lineRule="auto" w:line="360" w:before="0" w:after="0"/>
        <w:ind w:left="720" w:hanging="294"/>
        <w:jc w:val="both"/>
        <w:rPr>
          <w:rFonts w:eastAsia="Times New Roman"/>
        </w:rPr>
      </w:pPr>
      <w:r>
        <w:rPr>
          <w:rFonts w:eastAsia="Times New Roman"/>
          <w:sz w:val="24"/>
          <w:szCs w:val="24"/>
        </w:rPr>
        <w:t>повреждение нижнего альвеолярного нерва и, как следствие, возникновении парестезии в послеоперационном периоде;</w:t>
      </w:r>
    </w:p>
    <w:p>
      <w:pPr>
        <w:pStyle w:val="Normal"/>
        <w:numPr>
          <w:ilvl w:val="0"/>
          <w:numId w:val="19"/>
        </w:numPr>
        <w:spacing w:lineRule="auto" w:line="360" w:before="0" w:after="0"/>
        <w:ind w:left="720" w:hanging="294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при проведении операции на верхней челюсти - перфорация дна гайморовой пазухи;</w:t>
      </w:r>
    </w:p>
    <w:p>
      <w:pPr>
        <w:pStyle w:val="Normal"/>
        <w:numPr>
          <w:ilvl w:val="0"/>
          <w:numId w:val="19"/>
        </w:numPr>
        <w:spacing w:lineRule="auto" w:line="360" w:before="0" w:after="0"/>
        <w:ind w:left="720" w:hanging="294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перелом инструмента;</w:t>
      </w:r>
    </w:p>
    <w:p>
      <w:pPr>
        <w:pStyle w:val="Normal"/>
        <w:numPr>
          <w:ilvl w:val="0"/>
          <w:numId w:val="19"/>
        </w:numPr>
        <w:spacing w:lineRule="auto" w:line="360"/>
        <w:ind w:left="720" w:hanging="294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перелом нижней челюсти [1].</w:t>
      </w:r>
    </w:p>
    <w:p>
      <w:pPr>
        <w:pStyle w:val="1"/>
        <w:spacing w:before="0" w:after="0"/>
        <w:jc w:val="center"/>
        <w:rPr/>
      </w:pPr>
      <w:bookmarkStart w:id="47" w:name="__RefHeading___Toc10541_2770555280"/>
      <w:bookmarkStart w:id="48" w:name="_jdq0cj1b3qpe"/>
      <w:bookmarkEnd w:id="47"/>
      <w:bookmarkEnd w:id="48"/>
      <w:r>
        <w:rPr/>
        <w:t>4. Медицинская реабилитация, медицинские показания и противопоказания к применению методов реабилитации</w:t>
      </w:r>
    </w:p>
    <w:p>
      <w:pPr>
        <w:pStyle w:val="Normal"/>
        <w:spacing w:lineRule="auto" w:line="360" w:before="0" w:after="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После проведения хирургического лечения необходимо: </w:t>
      </w:r>
    </w:p>
    <w:p>
      <w:pPr>
        <w:pStyle w:val="Normal"/>
        <w:numPr>
          <w:ilvl w:val="0"/>
          <w:numId w:val="14"/>
        </w:numPr>
        <w:spacing w:lineRule="auto" w:line="360" w:before="0" w:after="0"/>
        <w:ind w:left="720" w:hanging="294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после вмешательства ребенку рекомендуется сразу приложить холод на кожные покровы в проекции послеоперационной области;</w:t>
      </w:r>
    </w:p>
    <w:p>
      <w:pPr>
        <w:pStyle w:val="Normal"/>
        <w:numPr>
          <w:ilvl w:val="0"/>
          <w:numId w:val="14"/>
        </w:numPr>
        <w:spacing w:lineRule="auto" w:line="360" w:before="0" w:after="0"/>
        <w:ind w:left="720" w:hanging="294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если операция проходила в амбулаторных условиях детям дают обезболивающее и рекомендуют съесть мороженое (лизать языком), просят соблюдать охранительный режим молчания в первые сутки после операции. Следует избегать физических нагрузок в первую неделю после операции;</w:t>
      </w:r>
    </w:p>
    <w:p>
      <w:pPr>
        <w:pStyle w:val="Normal"/>
        <w:numPr>
          <w:ilvl w:val="0"/>
          <w:numId w:val="14"/>
        </w:numPr>
        <w:spacing w:lineRule="auto" w:line="360" w:before="0" w:after="0"/>
        <w:ind w:left="720" w:hanging="294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детям и родителям разъясняют правила и режим антисептической обработки послеоперационной области и способы проведения гигиенических процедур полости рта;</w:t>
      </w:r>
    </w:p>
    <w:p>
      <w:pPr>
        <w:pStyle w:val="Normal"/>
        <w:numPr>
          <w:ilvl w:val="0"/>
          <w:numId w:val="14"/>
        </w:numPr>
        <w:spacing w:lineRule="auto" w:line="360" w:before="0" w:after="280"/>
        <w:ind w:left="720" w:hanging="294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назначается повторные осмотр через 7 дней. [3, 4]</w:t>
      </w:r>
    </w:p>
    <w:p>
      <w:pPr>
        <w:pStyle w:val="Normal"/>
        <w:numPr>
          <w:ilvl w:val="0"/>
          <w:numId w:val="0"/>
        </w:numPr>
        <w:spacing w:lineRule="auto" w:line="360" w:before="0" w:after="0"/>
        <w:ind w:left="720" w:hanging="0"/>
        <w:jc w:val="both"/>
        <w:rPr>
          <w:rFonts w:eastAsia="Times New Roman"/>
          <w:b/>
          <w:b/>
          <w:color w:val="00000A"/>
          <w:sz w:val="24"/>
          <w:szCs w:val="24"/>
        </w:rPr>
      </w:pPr>
      <w:r>
        <w:rPr>
          <w:rFonts w:eastAsia="Times New Roman"/>
          <w:b/>
          <w:color w:val="00000A"/>
          <w:sz w:val="24"/>
          <w:szCs w:val="24"/>
        </w:rPr>
        <w:t>Уровень убедительности B (уровень достоверности доказательств – 2)</w:t>
      </w:r>
    </w:p>
    <w:p>
      <w:pPr>
        <w:pStyle w:val="1"/>
        <w:keepLines/>
        <w:jc w:val="center"/>
        <w:rPr/>
      </w:pPr>
      <w:bookmarkStart w:id="49" w:name="__RefHeading___Toc10543_2770555280"/>
      <w:bookmarkStart w:id="50" w:name="_3j2qqm3"/>
      <w:bookmarkEnd w:id="49"/>
      <w:bookmarkEnd w:id="50"/>
      <w:r>
        <w:rPr/>
        <w:t>5. Профилактика и диспансерное наблюдение, медицинские показания и противопоказания  к применению методов профилактики</w:t>
      </w:r>
    </w:p>
    <w:p>
      <w:pPr>
        <w:pStyle w:val="2"/>
        <w:rPr/>
      </w:pPr>
      <w:bookmarkStart w:id="51" w:name="__RefHeading___Toc10545_2770555280"/>
      <w:bookmarkStart w:id="52" w:name="_30d20x5tjhr0"/>
      <w:bookmarkEnd w:id="51"/>
      <w:bookmarkEnd w:id="52"/>
      <w:r>
        <w:rPr/>
        <w:t>5.1  Профилактика</w:t>
      </w:r>
    </w:p>
    <w:p>
      <w:pPr>
        <w:pStyle w:val="Normal"/>
        <w:spacing w:lineRule="auto" w:line="360" w:before="0" w:after="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Исходя из современных представлений о возникновении и диагностики кист, образовавшихся в процессе формирования зубов, профилактика должна осуществляться по нескольким направлениям:</w:t>
      </w:r>
    </w:p>
    <w:p>
      <w:pPr>
        <w:pStyle w:val="Normal"/>
        <w:numPr>
          <w:ilvl w:val="0"/>
          <w:numId w:val="13"/>
        </w:numPr>
        <w:tabs>
          <w:tab w:val="clear" w:pos="709"/>
          <w:tab w:val="left" w:pos="0" w:leader="none"/>
        </w:tabs>
        <w:spacing w:lineRule="auto" w:line="360" w:before="0" w:after="0"/>
        <w:ind w:left="720" w:hanging="294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исключение патологических экзогенных и эндогенных факторов, влияющих на женщину во время беременности;</w:t>
      </w:r>
    </w:p>
    <w:p>
      <w:pPr>
        <w:pStyle w:val="Normal"/>
        <w:numPr>
          <w:ilvl w:val="0"/>
          <w:numId w:val="13"/>
        </w:numPr>
        <w:tabs>
          <w:tab w:val="clear" w:pos="709"/>
          <w:tab w:val="left" w:pos="0" w:leader="none"/>
        </w:tabs>
        <w:spacing w:lineRule="auto" w:line="360" w:before="0" w:after="0"/>
        <w:ind w:left="720" w:hanging="294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своевременная диагностика кист врачами - стоматологами при проведении плановых профилактических осмотров;</w:t>
      </w:r>
    </w:p>
    <w:p>
      <w:pPr>
        <w:pStyle w:val="Normal"/>
        <w:numPr>
          <w:ilvl w:val="0"/>
          <w:numId w:val="13"/>
        </w:numPr>
        <w:tabs>
          <w:tab w:val="clear" w:pos="709"/>
          <w:tab w:val="left" w:pos="0" w:leader="none"/>
        </w:tabs>
        <w:spacing w:lineRule="auto" w:line="360" w:before="0" w:after="0"/>
        <w:ind w:left="720" w:hanging="294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организация врачом стоматологом - терапевтом консультации врача стоматолога - хирурга для детей с подозрением на наличие кист;</w:t>
      </w:r>
    </w:p>
    <w:p>
      <w:pPr>
        <w:pStyle w:val="Normal"/>
        <w:numPr>
          <w:ilvl w:val="0"/>
          <w:numId w:val="13"/>
        </w:numPr>
        <w:tabs>
          <w:tab w:val="clear" w:pos="709"/>
          <w:tab w:val="left" w:pos="0" w:leader="none"/>
        </w:tabs>
        <w:spacing w:lineRule="auto" w:line="360" w:before="0" w:after="0"/>
        <w:ind w:left="720" w:hanging="294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своевременное выявление врачами стоматологами - терапевтами детей с патологией ЗЧС и ЗЧА и направление их на консультацию к врачу ортодонту;</w:t>
      </w:r>
    </w:p>
    <w:p>
      <w:pPr>
        <w:pStyle w:val="Normal"/>
        <w:numPr>
          <w:ilvl w:val="0"/>
          <w:numId w:val="13"/>
        </w:numPr>
        <w:tabs>
          <w:tab w:val="clear" w:pos="709"/>
          <w:tab w:val="left" w:pos="0" w:leader="none"/>
        </w:tabs>
        <w:spacing w:lineRule="auto" w:line="360" w:before="0" w:after="0"/>
        <w:ind w:left="720" w:hanging="294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при необходимости, организация врачом стоматологом - терапевтом совместной консультации пациента несколькими специалистами (врачом челюстно - лицевым хирургом, врачом стоматологом - хирургом, врачом ортодонтом). [3, 4]  </w:t>
      </w:r>
    </w:p>
    <w:p>
      <w:pPr>
        <w:pStyle w:val="2"/>
        <w:spacing w:before="0" w:after="0"/>
        <w:rPr/>
      </w:pPr>
      <w:bookmarkStart w:id="53" w:name="__RefHeading___Toc10547_2770555280"/>
      <w:bookmarkStart w:id="54" w:name="_vjhbgi74w0cn"/>
      <w:bookmarkEnd w:id="53"/>
      <w:bookmarkEnd w:id="54"/>
      <w:r>
        <w:rPr/>
        <w:t>5.2  Диспансеризация</w:t>
      </w:r>
    </w:p>
    <w:p>
      <w:pPr>
        <w:pStyle w:val="Normal"/>
        <w:spacing w:lineRule="auto" w:line="360" w:before="0" w:after="0"/>
        <w:ind w:firstLine="708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Дети с десневыми кистами нуждаются в диспансерном наблюдении только при изменении размера или цвета образования.</w:t>
      </w:r>
    </w:p>
    <w:p>
      <w:pPr>
        <w:pStyle w:val="Normal"/>
        <w:spacing w:lineRule="auto" w:line="360" w:before="0" w:after="0"/>
        <w:ind w:firstLine="708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Дети с фолликулярными кистами должны быть поставлены на диспансерный учет и осмотр их должен осуществляться на каждом этапе лечения и восстановления и 1 раз в год в послеоперационном периоде. [3, 4]</w:t>
      </w:r>
    </w:p>
    <w:p>
      <w:pPr>
        <w:pStyle w:val="Normal"/>
        <w:spacing w:lineRule="auto" w:line="360" w:before="0" w:after="0"/>
        <w:jc w:val="both"/>
        <w:rPr>
          <w:rFonts w:eastAsia="Times New Roman"/>
          <w:i/>
          <w:i/>
          <w:sz w:val="24"/>
          <w:szCs w:val="24"/>
        </w:rPr>
      </w:pPr>
      <w:r>
        <w:rPr>
          <w:rFonts w:eastAsia="Times New Roman"/>
          <w:b/>
          <w:color w:val="00000A"/>
          <w:sz w:val="24"/>
          <w:szCs w:val="24"/>
        </w:rPr>
        <w:t>Уровень убедительности В (уровень достоверности доказательств – 2)</w:t>
      </w:r>
    </w:p>
    <w:p>
      <w:pPr>
        <w:pStyle w:val="Normal"/>
        <w:spacing w:lineRule="auto" w:line="360" w:before="0" w:after="0"/>
        <w:ind w:firstLine="708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</w:r>
    </w:p>
    <w:p>
      <w:pPr>
        <w:pStyle w:val="1"/>
        <w:keepLines/>
        <w:jc w:val="center"/>
        <w:rPr/>
      </w:pPr>
      <w:bookmarkStart w:id="55" w:name="__RefHeading___Toc10549_2770555280"/>
      <w:bookmarkEnd w:id="55"/>
      <w:r>
        <w:rPr/>
        <w:t xml:space="preserve"> </w:t>
      </w:r>
      <w:r>
        <w:rPr/>
        <w:t>6.  Организация оказания медицинской помощи</w:t>
      </w:r>
    </w:p>
    <w:p>
      <w:pPr>
        <w:pStyle w:val="Normal"/>
        <w:spacing w:lineRule="auto" w:line="360" w:before="0" w:after="0"/>
        <w:ind w:firstLine="708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Показания для плановой госпитализации в медицинскую организацию:</w:t>
      </w:r>
    </w:p>
    <w:p>
      <w:pPr>
        <w:pStyle w:val="Normal"/>
        <w:numPr>
          <w:ilvl w:val="0"/>
          <w:numId w:val="17"/>
        </w:numPr>
        <w:spacing w:lineRule="auto" w:line="360" w:before="0" w:after="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малый размер кисты;</w:t>
      </w:r>
    </w:p>
    <w:p>
      <w:pPr>
        <w:pStyle w:val="Normal"/>
        <w:numPr>
          <w:ilvl w:val="0"/>
          <w:numId w:val="17"/>
        </w:numPr>
        <w:spacing w:lineRule="auto" w:line="360" w:before="0" w:after="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отсутствие воспалительного процесса;</w:t>
      </w:r>
    </w:p>
    <w:p>
      <w:pPr>
        <w:pStyle w:val="Normal"/>
        <w:numPr>
          <w:ilvl w:val="0"/>
          <w:numId w:val="17"/>
        </w:numPr>
        <w:spacing w:lineRule="auto" w:line="360" w:before="0" w:after="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необходимость дополнительного обследования ребенка.</w:t>
      </w:r>
    </w:p>
    <w:p>
      <w:pPr>
        <w:pStyle w:val="Normal"/>
        <w:spacing w:lineRule="auto" w:line="360" w:before="0" w:after="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</w:r>
    </w:p>
    <w:p>
      <w:pPr>
        <w:pStyle w:val="Normal"/>
        <w:spacing w:lineRule="auto" w:line="360" w:before="0" w:after="0"/>
        <w:ind w:left="708" w:hanging="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Показания для экстренной госпитализации в медицинскую организацию:</w:t>
      </w:r>
    </w:p>
    <w:p>
      <w:pPr>
        <w:pStyle w:val="Normal"/>
        <w:numPr>
          <w:ilvl w:val="0"/>
          <w:numId w:val="18"/>
        </w:numPr>
        <w:spacing w:lineRule="auto" w:line="360" w:before="0" w:after="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большой размер кисты;</w:t>
      </w:r>
    </w:p>
    <w:p>
      <w:pPr>
        <w:pStyle w:val="Normal"/>
        <w:numPr>
          <w:ilvl w:val="0"/>
          <w:numId w:val="18"/>
        </w:numPr>
        <w:spacing w:lineRule="auto" w:line="360" w:before="0" w:after="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угроза перелома челюсти;</w:t>
      </w:r>
    </w:p>
    <w:p>
      <w:pPr>
        <w:pStyle w:val="Normal"/>
        <w:numPr>
          <w:ilvl w:val="0"/>
          <w:numId w:val="18"/>
        </w:numPr>
        <w:spacing w:lineRule="auto" w:line="360" w:before="0" w:after="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острый воспалительный процесс;</w:t>
      </w:r>
    </w:p>
    <w:p>
      <w:pPr>
        <w:pStyle w:val="Normal"/>
        <w:numPr>
          <w:ilvl w:val="0"/>
          <w:numId w:val="18"/>
        </w:numPr>
        <w:spacing w:lineRule="auto" w:line="360" w:before="0" w:after="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состояния, угрожающие жизни ребенка.</w:t>
      </w:r>
    </w:p>
    <w:p>
      <w:pPr>
        <w:pStyle w:val="Normal"/>
        <w:spacing w:lineRule="auto" w:line="360" w:before="0" w:after="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</w:r>
    </w:p>
    <w:p>
      <w:pPr>
        <w:pStyle w:val="Normal"/>
        <w:spacing w:lineRule="auto" w:line="360" w:before="0" w:after="0"/>
        <w:ind w:firstLine="708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Показания к </w:t>
      </w:r>
      <w:bookmarkStart w:id="56" w:name="_GoBack1"/>
      <w:bookmarkEnd w:id="56"/>
      <w:r>
        <w:rPr>
          <w:rFonts w:eastAsia="Times New Roman"/>
          <w:sz w:val="24"/>
          <w:szCs w:val="24"/>
        </w:rPr>
        <w:t>выписке пациента из медицинской организации:</w:t>
      </w:r>
    </w:p>
    <w:p>
      <w:pPr>
        <w:pStyle w:val="Normal"/>
        <w:numPr>
          <w:ilvl w:val="0"/>
          <w:numId w:val="2"/>
        </w:numPr>
        <w:spacing w:lineRule="auto" w:line="360" w:before="0" w:after="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отсутствие воспалительных процессов; </w:t>
      </w:r>
    </w:p>
    <w:p>
      <w:pPr>
        <w:pStyle w:val="Normal"/>
        <w:numPr>
          <w:ilvl w:val="0"/>
          <w:numId w:val="2"/>
        </w:numPr>
        <w:spacing w:lineRule="auto" w:line="360" w:before="0" w:after="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удовлетворительное состояние и самочувствие ребенка;</w:t>
      </w:r>
    </w:p>
    <w:p>
      <w:pPr>
        <w:pStyle w:val="Normal"/>
        <w:numPr>
          <w:ilvl w:val="0"/>
          <w:numId w:val="2"/>
        </w:numPr>
        <w:spacing w:lineRule="auto" w:line="360" w:before="0" w:after="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эпителизация послеоперационной раны;</w:t>
      </w:r>
    </w:p>
    <w:p>
      <w:pPr>
        <w:pStyle w:val="Normal"/>
        <w:numPr>
          <w:ilvl w:val="0"/>
          <w:numId w:val="2"/>
        </w:numPr>
        <w:spacing w:lineRule="auto" w:line="360" w:before="0" w:after="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отсутствие осложнений.</w:t>
      </w:r>
    </w:p>
    <w:p>
      <w:pPr>
        <w:pStyle w:val="1"/>
        <w:jc w:val="center"/>
        <w:rPr/>
      </w:pPr>
      <w:bookmarkStart w:id="57" w:name="__RefHeading___Toc10551_2770555280"/>
      <w:bookmarkEnd w:id="57"/>
      <w:r>
        <w:rPr/>
        <w:t>7. Дополнительная информация, влияющая на течение и исход заболевания</w:t>
      </w:r>
    </w:p>
    <w:p>
      <w:pPr>
        <w:pStyle w:val="Normal"/>
        <w:spacing w:lineRule="auto" w:line="360" w:before="0" w:after="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</w:r>
    </w:p>
    <w:p>
      <w:pPr>
        <w:pStyle w:val="Normal"/>
        <w:spacing w:lineRule="auto" w:line="360" w:before="0" w:after="0"/>
        <w:jc w:val="both"/>
        <w:rPr>
          <w:rFonts w:eastAsia="Times New Roman"/>
          <w:b/>
          <w:b/>
          <w:sz w:val="24"/>
          <w:szCs w:val="24"/>
        </w:rPr>
      </w:pPr>
      <w:r>
        <w:rPr>
          <w:rFonts w:eastAsia="Times New Roman"/>
          <w:b/>
          <w:sz w:val="24"/>
          <w:szCs w:val="24"/>
        </w:rPr>
        <w:t>Требования к режиму труда, отдыха, лечения и реабилитации</w:t>
      </w:r>
    </w:p>
    <w:p>
      <w:pPr>
        <w:pStyle w:val="Normal"/>
        <w:spacing w:lineRule="auto" w:line="360" w:before="0" w:after="0"/>
        <w:ind w:firstLine="708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Детям после проведения операции по поводу удаления фолликулярных кист рекомендуется первые 2 часа после хирургического вмешательства не полоскать полость рта, не есть, далее в течение дня не употреблять горячую пищу во избежание появления болевых ощущений, а также не выполнять тяжелые физические упражнения. Начиная со второго дня после операции после еды, 3 раза в день следует проводить обработку послеоперационной области антисептическими растворами. Через 7 дней необходимо явиться на перевязку и осмотр к оперирующему врачу. План дальнейших перевязок и осмотров врач определяет индивидуально для каждого пациента.  Далее, при необходимости, ребенок направляется на консультацию к врачу-ортодонту для определения показаний к восстановлению и/или исправлению имеющейся ЗЧА. Рекомендуется посещать врача стоматолога 2 раза в год.</w:t>
      </w:r>
    </w:p>
    <w:p>
      <w:pPr>
        <w:pStyle w:val="Normal"/>
        <w:spacing w:lineRule="auto" w:line="360" w:before="0" w:after="0"/>
        <w:ind w:firstLine="708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После проведенного вмешательства в первые сутки рекомендуется ребенку соблюдать охранительный режим и есть мороженое. Родители ребенка должны быть предупреждены о необходимости немедленного обращения при появлении признаков воспалительного процесса. [3, 4]</w:t>
      </w:r>
    </w:p>
    <w:p>
      <w:pPr>
        <w:pStyle w:val="1"/>
        <w:jc w:val="center"/>
        <w:rPr/>
      </w:pPr>
      <w:bookmarkStart w:id="58" w:name="__RefHeading___Toc10553_2770555280"/>
      <w:bookmarkStart w:id="59" w:name="_k4atswknwkvl"/>
      <w:bookmarkEnd w:id="58"/>
      <w:bookmarkEnd w:id="59"/>
      <w:r>
        <w:rPr/>
        <w:t>Критерии оценки качества медицинской помощи</w:t>
      </w:r>
    </w:p>
    <w:p>
      <w:pPr>
        <w:pStyle w:val="Normal"/>
        <w:spacing w:lineRule="auto" w:line="360" w:before="0" w:after="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  <w:u w:val="single"/>
        </w:rPr>
        <w:t>Группа заболеваний или состояний</w:t>
      </w:r>
      <w:r>
        <w:rPr>
          <w:rFonts w:eastAsia="Times New Roman"/>
          <w:sz w:val="24"/>
          <w:szCs w:val="24"/>
        </w:rPr>
        <w:t>:</w:t>
      </w:r>
      <w:r>
        <w:rPr>
          <w:rFonts w:eastAsia="Times New Roman"/>
          <w:b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 xml:space="preserve">Кисты, образовавшиеся в процессе формирования зубов </w:t>
      </w:r>
    </w:p>
    <w:p>
      <w:pPr>
        <w:pStyle w:val="Normal"/>
        <w:spacing w:lineRule="auto" w:line="360" w:before="0" w:after="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Код/коды по МКБ-10 К09.00, К09.03, К09.09</w:t>
      </w:r>
    </w:p>
    <w:p>
      <w:pPr>
        <w:pStyle w:val="Normal"/>
        <w:spacing w:lineRule="auto" w:line="360" w:before="0" w:after="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Формы, виды и условия оказания медицинской помощи:</w:t>
      </w:r>
    </w:p>
    <w:p>
      <w:pPr>
        <w:pStyle w:val="Normal"/>
        <w:numPr>
          <w:ilvl w:val="0"/>
          <w:numId w:val="6"/>
        </w:numPr>
        <w:spacing w:lineRule="auto" w:line="360" w:before="0" w:after="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обращение в поликлинику с целью консультации;</w:t>
      </w:r>
    </w:p>
    <w:p>
      <w:pPr>
        <w:pStyle w:val="Normal"/>
        <w:numPr>
          <w:ilvl w:val="0"/>
          <w:numId w:val="6"/>
        </w:numPr>
        <w:spacing w:lineRule="auto" w:line="360" w:before="0" w:after="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плановое лечение в поликлинике;</w:t>
      </w:r>
    </w:p>
    <w:p>
      <w:pPr>
        <w:pStyle w:val="Normal"/>
        <w:numPr>
          <w:ilvl w:val="0"/>
          <w:numId w:val="6"/>
        </w:numPr>
        <w:spacing w:lineRule="auto" w:line="360" w:before="0" w:after="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лечение в условиях стационара под общим обезболиванием.</w:t>
      </w:r>
    </w:p>
    <w:p>
      <w:pPr>
        <w:pStyle w:val="Normal"/>
        <w:spacing w:lineRule="auto" w:line="360" w:before="0" w:after="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 </w:t>
      </w:r>
    </w:p>
    <w:tbl>
      <w:tblPr>
        <w:tblStyle w:val="a5"/>
        <w:tblW w:w="9825" w:type="dxa"/>
        <w:jc w:val="left"/>
        <w:tblInd w:w="-102" w:type="dxa"/>
        <w:tblLayout w:type="fixed"/>
        <w:tblCellMar>
          <w:top w:w="0" w:type="dxa"/>
          <w:left w:w="93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765"/>
        <w:gridCol w:w="4905"/>
        <w:gridCol w:w="2100"/>
        <w:gridCol w:w="2054"/>
      </w:tblGrid>
      <w:tr>
        <w:trPr/>
        <w:tc>
          <w:tcPr>
            <w:tcW w:w="7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200"/>
              <w:jc w:val="both"/>
              <w:rPr>
                <w:rFonts w:eastAsia="Times New Roman"/>
                <w:b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№</w:t>
            </w:r>
          </w:p>
        </w:tc>
        <w:tc>
          <w:tcPr>
            <w:tcW w:w="49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eastAsia="Times New Roman"/>
                <w:b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Критерии качества</w:t>
            </w:r>
          </w:p>
        </w:tc>
        <w:tc>
          <w:tcPr>
            <w:tcW w:w="21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eastAsia="Times New Roman"/>
                <w:b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Уровень достоверности доказательств</w:t>
            </w:r>
          </w:p>
        </w:tc>
        <w:tc>
          <w:tcPr>
            <w:tcW w:w="20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eastAsia="Times New Roman"/>
                <w:b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Уровень убедительности рекомендаций</w:t>
            </w:r>
          </w:p>
        </w:tc>
      </w:tr>
      <w:tr>
        <w:trPr>
          <w:trHeight w:val="1200" w:hRule="atLeast"/>
        </w:trPr>
        <w:tc>
          <w:tcPr>
            <w:tcW w:w="7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9"/>
                <w:tab w:val="left" w:pos="0" w:leader="none"/>
              </w:tabs>
              <w:spacing w:lineRule="auto" w:line="360" w:before="0" w:after="200"/>
              <w:jc w:val="both"/>
              <w:rPr>
                <w:rFonts w:eastAsia="Times New Roman"/>
                <w:b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1.</w:t>
            </w:r>
          </w:p>
        </w:tc>
        <w:tc>
          <w:tcPr>
            <w:tcW w:w="49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9"/>
                <w:tab w:val="left" w:pos="0" w:leader="none"/>
              </w:tabs>
              <w:spacing w:lineRule="auto" w:line="360" w:before="0" w:after="0"/>
              <w:jc w:val="both"/>
              <w:rPr>
                <w:rFonts w:eastAsia="Times New Roman"/>
                <w:b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Событийные (смысловые, содержательные, процессуальные) критерии качества</w:t>
            </w:r>
          </w:p>
        </w:tc>
        <w:tc>
          <w:tcPr>
            <w:tcW w:w="415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color="auto" w:fill="D9D9D9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eastAsia="Times New Roman"/>
                <w:b/>
                <w:b/>
                <w:sz w:val="24"/>
                <w:szCs w:val="24"/>
                <w:shd w:fill="D9D9D9" w:val="clear"/>
              </w:rPr>
            </w:pPr>
            <w:r>
              <w:rPr>
                <w:rFonts w:eastAsia="Times New Roman"/>
                <w:b/>
                <w:sz w:val="24"/>
                <w:szCs w:val="24"/>
                <w:shd w:fill="D9D9D9" w:val="clear"/>
              </w:rPr>
            </w:r>
          </w:p>
        </w:tc>
      </w:tr>
      <w:tr>
        <w:trPr/>
        <w:tc>
          <w:tcPr>
            <w:tcW w:w="7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20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1.1</w:t>
            </w:r>
          </w:p>
        </w:tc>
        <w:tc>
          <w:tcPr>
            <w:tcW w:w="49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  <w:u w:val="single"/>
              </w:rPr>
              <w:t>Проводилось ли при постановке диагноза</w:t>
            </w:r>
            <w:r>
              <w:rPr>
                <w:rFonts w:eastAsia="Times New Roman"/>
                <w:sz w:val="24"/>
                <w:szCs w:val="24"/>
              </w:rPr>
              <w:t>:</w:t>
            </w:r>
          </w:p>
        </w:tc>
        <w:tc>
          <w:tcPr>
            <w:tcW w:w="415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color="auto" w:fill="D9D9D9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eastAsia="Times New Roman"/>
                <w:sz w:val="24"/>
                <w:szCs w:val="24"/>
                <w:shd w:fill="D9D9D9" w:val="clear"/>
              </w:rPr>
            </w:pPr>
            <w:r>
              <w:rPr>
                <w:rFonts w:eastAsia="Times New Roman"/>
                <w:sz w:val="24"/>
                <w:szCs w:val="24"/>
                <w:shd w:fill="D9D9D9" w:val="clear"/>
              </w:rPr>
            </w:r>
          </w:p>
        </w:tc>
      </w:tr>
      <w:tr>
        <w:trPr/>
        <w:tc>
          <w:tcPr>
            <w:tcW w:w="7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1.1.1</w:t>
            </w:r>
          </w:p>
        </w:tc>
        <w:tc>
          <w:tcPr>
            <w:tcW w:w="4905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сбор анамнеза, выявление причинных факторов заболевания</w:t>
            </w:r>
          </w:p>
        </w:tc>
        <w:tc>
          <w:tcPr>
            <w:tcW w:w="2100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20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Б</w:t>
            </w:r>
          </w:p>
        </w:tc>
      </w:tr>
      <w:tr>
        <w:trPr/>
        <w:tc>
          <w:tcPr>
            <w:tcW w:w="7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1.1.2</w:t>
            </w:r>
          </w:p>
        </w:tc>
        <w:tc>
          <w:tcPr>
            <w:tcW w:w="49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9"/>
                <w:tab w:val="left" w:pos="175" w:leader="none"/>
                <w:tab w:val="left" w:pos="459" w:leader="none"/>
              </w:tabs>
              <w:spacing w:lineRule="auto" w:line="360" w:before="0" w:after="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внешний осмотр</w:t>
            </w:r>
          </w:p>
        </w:tc>
        <w:tc>
          <w:tcPr>
            <w:tcW w:w="21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20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B</w:t>
            </w:r>
          </w:p>
        </w:tc>
      </w:tr>
      <w:tr>
        <w:trPr/>
        <w:tc>
          <w:tcPr>
            <w:tcW w:w="7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1.1.3</w:t>
            </w:r>
          </w:p>
        </w:tc>
        <w:tc>
          <w:tcPr>
            <w:tcW w:w="49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осмотр полости рта</w:t>
            </w:r>
          </w:p>
        </w:tc>
        <w:tc>
          <w:tcPr>
            <w:tcW w:w="21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20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B</w:t>
            </w:r>
          </w:p>
        </w:tc>
      </w:tr>
      <w:tr>
        <w:trPr/>
        <w:tc>
          <w:tcPr>
            <w:tcW w:w="7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1.1.4</w:t>
            </w:r>
          </w:p>
        </w:tc>
        <w:tc>
          <w:tcPr>
            <w:tcW w:w="49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определение подвижности зубов</w:t>
            </w:r>
          </w:p>
        </w:tc>
        <w:tc>
          <w:tcPr>
            <w:tcW w:w="21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20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Б</w:t>
            </w:r>
          </w:p>
        </w:tc>
      </w:tr>
      <w:tr>
        <w:trPr/>
        <w:tc>
          <w:tcPr>
            <w:tcW w:w="7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1.1.5</w:t>
            </w:r>
          </w:p>
        </w:tc>
        <w:tc>
          <w:tcPr>
            <w:tcW w:w="49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9"/>
                <w:tab w:val="left" w:pos="175" w:leader="none"/>
                <w:tab w:val="left" w:pos="459" w:leader="none"/>
              </w:tabs>
              <w:spacing w:lineRule="auto" w:line="360" w:before="0" w:after="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рентгенологическое обследование</w:t>
            </w:r>
          </w:p>
        </w:tc>
        <w:tc>
          <w:tcPr>
            <w:tcW w:w="21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</w:t>
            </w:r>
          </w:p>
        </w:tc>
        <w:tc>
          <w:tcPr>
            <w:tcW w:w="20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А</w:t>
            </w:r>
          </w:p>
        </w:tc>
      </w:tr>
      <w:tr>
        <w:trPr/>
        <w:tc>
          <w:tcPr>
            <w:tcW w:w="7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20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1.2</w:t>
            </w:r>
          </w:p>
        </w:tc>
        <w:tc>
          <w:tcPr>
            <w:tcW w:w="49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  <w:u w:val="single"/>
              </w:rPr>
              <w:t>Проводилось ли в ходе лечебных мероприятий</w:t>
            </w:r>
            <w:r>
              <w:rPr>
                <w:rFonts w:eastAsia="Times New Roman"/>
                <w:sz w:val="24"/>
                <w:szCs w:val="24"/>
              </w:rPr>
              <w:t>:</w:t>
            </w:r>
          </w:p>
        </w:tc>
        <w:tc>
          <w:tcPr>
            <w:tcW w:w="415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color="auto" w:fill="D9D9D9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</w:r>
          </w:p>
        </w:tc>
      </w:tr>
      <w:tr>
        <w:trPr/>
        <w:tc>
          <w:tcPr>
            <w:tcW w:w="7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20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1.2.1</w:t>
            </w:r>
          </w:p>
        </w:tc>
        <w:tc>
          <w:tcPr>
            <w:tcW w:w="49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местное или общее обезболивание</w:t>
            </w:r>
          </w:p>
        </w:tc>
        <w:tc>
          <w:tcPr>
            <w:tcW w:w="21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20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В</w:t>
            </w:r>
          </w:p>
        </w:tc>
      </w:tr>
      <w:tr>
        <w:trPr/>
        <w:tc>
          <w:tcPr>
            <w:tcW w:w="7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20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1.2.2</w:t>
            </w:r>
          </w:p>
        </w:tc>
        <w:tc>
          <w:tcPr>
            <w:tcW w:w="49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вскрытие полости кисты</w:t>
            </w:r>
          </w:p>
        </w:tc>
        <w:tc>
          <w:tcPr>
            <w:tcW w:w="21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20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A</w:t>
            </w:r>
          </w:p>
        </w:tc>
      </w:tr>
      <w:tr>
        <w:trPr/>
        <w:tc>
          <w:tcPr>
            <w:tcW w:w="7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20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1.2.3</w:t>
            </w:r>
          </w:p>
        </w:tc>
        <w:tc>
          <w:tcPr>
            <w:tcW w:w="49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удаление оболочки кисты</w:t>
            </w:r>
          </w:p>
        </w:tc>
        <w:tc>
          <w:tcPr>
            <w:tcW w:w="21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20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Б</w:t>
            </w:r>
          </w:p>
        </w:tc>
      </w:tr>
      <w:tr>
        <w:trPr/>
        <w:tc>
          <w:tcPr>
            <w:tcW w:w="7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20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1.2.4</w:t>
            </w:r>
          </w:p>
        </w:tc>
        <w:tc>
          <w:tcPr>
            <w:tcW w:w="49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мобилизация краев раны</w:t>
            </w:r>
          </w:p>
        </w:tc>
        <w:tc>
          <w:tcPr>
            <w:tcW w:w="21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3</w:t>
            </w:r>
          </w:p>
        </w:tc>
        <w:tc>
          <w:tcPr>
            <w:tcW w:w="20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Б</w:t>
            </w:r>
          </w:p>
        </w:tc>
      </w:tr>
      <w:tr>
        <w:trPr/>
        <w:tc>
          <w:tcPr>
            <w:tcW w:w="7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20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1.2.5</w:t>
            </w:r>
          </w:p>
        </w:tc>
        <w:tc>
          <w:tcPr>
            <w:tcW w:w="49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накладывание швов или тампонада йодоформным тампоном</w:t>
            </w:r>
          </w:p>
        </w:tc>
        <w:tc>
          <w:tcPr>
            <w:tcW w:w="21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20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Б</w:t>
            </w:r>
          </w:p>
        </w:tc>
      </w:tr>
      <w:tr>
        <w:trPr/>
        <w:tc>
          <w:tcPr>
            <w:tcW w:w="7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20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1.2.6</w:t>
            </w:r>
          </w:p>
        </w:tc>
        <w:tc>
          <w:tcPr>
            <w:tcW w:w="49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гемостаз</w:t>
            </w:r>
          </w:p>
        </w:tc>
        <w:tc>
          <w:tcPr>
            <w:tcW w:w="21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20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Б</w:t>
            </w:r>
          </w:p>
        </w:tc>
      </w:tr>
      <w:tr>
        <w:trPr/>
        <w:tc>
          <w:tcPr>
            <w:tcW w:w="7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20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1.2.7</w:t>
            </w:r>
          </w:p>
        </w:tc>
        <w:tc>
          <w:tcPr>
            <w:tcW w:w="49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назначение повторного приема</w:t>
            </w:r>
          </w:p>
        </w:tc>
        <w:tc>
          <w:tcPr>
            <w:tcW w:w="21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</w:t>
            </w:r>
          </w:p>
        </w:tc>
        <w:tc>
          <w:tcPr>
            <w:tcW w:w="20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А</w:t>
            </w:r>
          </w:p>
        </w:tc>
      </w:tr>
      <w:tr>
        <w:trPr/>
        <w:tc>
          <w:tcPr>
            <w:tcW w:w="7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200"/>
              <w:jc w:val="both"/>
              <w:rPr>
                <w:rFonts w:eastAsia="Times New Roman"/>
                <w:b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2.</w:t>
            </w:r>
          </w:p>
        </w:tc>
        <w:tc>
          <w:tcPr>
            <w:tcW w:w="49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9"/>
                <w:tab w:val="left" w:pos="0" w:leader="none"/>
              </w:tabs>
              <w:spacing w:lineRule="auto" w:line="360" w:before="0" w:after="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b/>
                <w:sz w:val="24"/>
                <w:szCs w:val="24"/>
              </w:rPr>
              <w:t>Временные критерии качества</w:t>
            </w:r>
          </w:p>
        </w:tc>
        <w:tc>
          <w:tcPr>
            <w:tcW w:w="415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color="auto" w:fill="D9D9D9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</w:r>
          </w:p>
        </w:tc>
      </w:tr>
      <w:tr>
        <w:trPr>
          <w:trHeight w:val="280" w:hRule="atLeast"/>
        </w:trPr>
        <w:tc>
          <w:tcPr>
            <w:tcW w:w="7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20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2.1</w:t>
            </w:r>
          </w:p>
        </w:tc>
        <w:tc>
          <w:tcPr>
            <w:tcW w:w="49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Устранение  кисты</w:t>
            </w:r>
          </w:p>
        </w:tc>
        <w:tc>
          <w:tcPr>
            <w:tcW w:w="21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20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Б</w:t>
            </w:r>
          </w:p>
        </w:tc>
      </w:tr>
      <w:tr>
        <w:trPr>
          <w:trHeight w:val="280" w:hRule="atLeast"/>
        </w:trPr>
        <w:tc>
          <w:tcPr>
            <w:tcW w:w="7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20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2.2</w:t>
            </w:r>
          </w:p>
        </w:tc>
        <w:tc>
          <w:tcPr>
            <w:tcW w:w="49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Сохранность целостности сосудов и нервов</w:t>
            </w:r>
          </w:p>
        </w:tc>
        <w:tc>
          <w:tcPr>
            <w:tcW w:w="21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20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Б</w:t>
            </w:r>
          </w:p>
        </w:tc>
      </w:tr>
      <w:tr>
        <w:trPr/>
        <w:tc>
          <w:tcPr>
            <w:tcW w:w="7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20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2.3</w:t>
            </w:r>
          </w:p>
        </w:tc>
        <w:tc>
          <w:tcPr>
            <w:tcW w:w="49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Проведение контрольного осмотра</w:t>
            </w:r>
          </w:p>
        </w:tc>
        <w:tc>
          <w:tcPr>
            <w:tcW w:w="21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</w:t>
            </w:r>
          </w:p>
        </w:tc>
        <w:tc>
          <w:tcPr>
            <w:tcW w:w="20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А</w:t>
            </w:r>
          </w:p>
        </w:tc>
      </w:tr>
      <w:tr>
        <w:trPr/>
        <w:tc>
          <w:tcPr>
            <w:tcW w:w="7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20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2.4</w:t>
            </w:r>
          </w:p>
        </w:tc>
        <w:tc>
          <w:tcPr>
            <w:tcW w:w="49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Введение лекарственных препаратов, обладающих анальгезирующим эффектом</w:t>
            </w:r>
          </w:p>
        </w:tc>
        <w:tc>
          <w:tcPr>
            <w:tcW w:w="21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20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Б</w:t>
            </w:r>
          </w:p>
        </w:tc>
      </w:tr>
      <w:tr>
        <w:trPr/>
        <w:tc>
          <w:tcPr>
            <w:tcW w:w="7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20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2.5</w:t>
            </w:r>
          </w:p>
        </w:tc>
        <w:tc>
          <w:tcPr>
            <w:tcW w:w="49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Повторные перевязки</w:t>
            </w:r>
          </w:p>
        </w:tc>
        <w:tc>
          <w:tcPr>
            <w:tcW w:w="21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20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Б</w:t>
            </w:r>
          </w:p>
        </w:tc>
      </w:tr>
      <w:tr>
        <w:trPr/>
        <w:tc>
          <w:tcPr>
            <w:tcW w:w="7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20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2.6</w:t>
            </w:r>
          </w:p>
        </w:tc>
        <w:tc>
          <w:tcPr>
            <w:tcW w:w="49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Наличие рекомендаций о необходимости работы с  ортодонтом</w:t>
            </w:r>
          </w:p>
        </w:tc>
        <w:tc>
          <w:tcPr>
            <w:tcW w:w="21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20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Б</w:t>
            </w:r>
          </w:p>
        </w:tc>
      </w:tr>
      <w:tr>
        <w:trPr/>
        <w:tc>
          <w:tcPr>
            <w:tcW w:w="7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200"/>
              <w:jc w:val="both"/>
              <w:rPr>
                <w:rFonts w:eastAsia="Times New Roman"/>
                <w:b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3.</w:t>
            </w:r>
          </w:p>
        </w:tc>
        <w:tc>
          <w:tcPr>
            <w:tcW w:w="49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9"/>
                <w:tab w:val="left" w:pos="0" w:leader="none"/>
              </w:tabs>
              <w:spacing w:lineRule="auto" w:line="360" w:before="0" w:after="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Результативные критерии качества</w:t>
            </w:r>
          </w:p>
        </w:tc>
        <w:tc>
          <w:tcPr>
            <w:tcW w:w="415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color="auto" w:fill="D9D9D9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</w:r>
          </w:p>
        </w:tc>
      </w:tr>
      <w:tr>
        <w:trPr/>
        <w:tc>
          <w:tcPr>
            <w:tcW w:w="7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9"/>
                <w:tab w:val="left" w:pos="0" w:leader="none"/>
              </w:tabs>
              <w:spacing w:lineRule="auto" w:line="360" w:before="0" w:after="20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3.1</w:t>
            </w:r>
          </w:p>
        </w:tc>
        <w:tc>
          <w:tcPr>
            <w:tcW w:w="49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Восстановление костной ткани</w:t>
            </w:r>
          </w:p>
        </w:tc>
        <w:tc>
          <w:tcPr>
            <w:tcW w:w="21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</w:t>
            </w:r>
          </w:p>
        </w:tc>
        <w:tc>
          <w:tcPr>
            <w:tcW w:w="20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А</w:t>
            </w:r>
          </w:p>
        </w:tc>
      </w:tr>
      <w:tr>
        <w:trPr/>
        <w:tc>
          <w:tcPr>
            <w:tcW w:w="7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20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3.2</w:t>
            </w:r>
          </w:p>
        </w:tc>
        <w:tc>
          <w:tcPr>
            <w:tcW w:w="49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Устранение воспалительных процессов</w:t>
            </w:r>
          </w:p>
        </w:tc>
        <w:tc>
          <w:tcPr>
            <w:tcW w:w="21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20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Б</w:t>
            </w:r>
          </w:p>
        </w:tc>
      </w:tr>
      <w:tr>
        <w:trPr/>
        <w:tc>
          <w:tcPr>
            <w:tcW w:w="7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20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3.3</w:t>
            </w:r>
          </w:p>
        </w:tc>
        <w:tc>
          <w:tcPr>
            <w:tcW w:w="49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Устранение патологических переломов</w:t>
            </w:r>
          </w:p>
        </w:tc>
        <w:tc>
          <w:tcPr>
            <w:tcW w:w="21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20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Б</w:t>
            </w:r>
          </w:p>
        </w:tc>
      </w:tr>
      <w:tr>
        <w:trPr/>
        <w:tc>
          <w:tcPr>
            <w:tcW w:w="7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20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3.4</w:t>
            </w:r>
          </w:p>
        </w:tc>
        <w:tc>
          <w:tcPr>
            <w:tcW w:w="49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Наличие рекомендаций о необходимости  профилактического осмотра   2 раза в год</w:t>
            </w:r>
          </w:p>
        </w:tc>
        <w:tc>
          <w:tcPr>
            <w:tcW w:w="21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</w:t>
            </w:r>
          </w:p>
        </w:tc>
        <w:tc>
          <w:tcPr>
            <w:tcW w:w="20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А</w:t>
            </w:r>
          </w:p>
        </w:tc>
      </w:tr>
      <w:tr>
        <w:trPr/>
        <w:tc>
          <w:tcPr>
            <w:tcW w:w="7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200"/>
              <w:jc w:val="both"/>
              <w:rPr>
                <w:rFonts w:eastAsia="Times New Roman"/>
                <w:b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4.</w:t>
            </w:r>
          </w:p>
        </w:tc>
        <w:tc>
          <w:tcPr>
            <w:tcW w:w="49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eastAsia="Times New Roman"/>
                <w:b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b/>
                <w:sz w:val="24"/>
                <w:szCs w:val="24"/>
              </w:rPr>
              <w:t>Дополнительные критерии</w:t>
            </w:r>
          </w:p>
        </w:tc>
        <w:tc>
          <w:tcPr>
            <w:tcW w:w="415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color="auto" w:fill="D9D9D9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</w:r>
          </w:p>
        </w:tc>
      </w:tr>
      <w:tr>
        <w:trPr/>
        <w:tc>
          <w:tcPr>
            <w:tcW w:w="7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20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4.1</w:t>
            </w:r>
          </w:p>
        </w:tc>
        <w:tc>
          <w:tcPr>
            <w:tcW w:w="49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Правильность и полнота заполнения медицинской документации</w:t>
            </w:r>
          </w:p>
        </w:tc>
        <w:tc>
          <w:tcPr>
            <w:tcW w:w="21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</w:t>
            </w:r>
          </w:p>
        </w:tc>
        <w:tc>
          <w:tcPr>
            <w:tcW w:w="20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А</w:t>
            </w:r>
          </w:p>
        </w:tc>
      </w:tr>
      <w:tr>
        <w:trPr/>
        <w:tc>
          <w:tcPr>
            <w:tcW w:w="7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20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4.2</w:t>
            </w:r>
          </w:p>
        </w:tc>
        <w:tc>
          <w:tcPr>
            <w:tcW w:w="49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Отсутствие осложнений после проведения местной анестезии</w:t>
            </w:r>
          </w:p>
        </w:tc>
        <w:tc>
          <w:tcPr>
            <w:tcW w:w="21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</w:t>
            </w:r>
          </w:p>
        </w:tc>
        <w:tc>
          <w:tcPr>
            <w:tcW w:w="20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А</w:t>
            </w:r>
          </w:p>
        </w:tc>
      </w:tr>
      <w:tr>
        <w:trPr/>
        <w:tc>
          <w:tcPr>
            <w:tcW w:w="7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20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4.3</w:t>
            </w:r>
          </w:p>
        </w:tc>
        <w:tc>
          <w:tcPr>
            <w:tcW w:w="49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Отсутствие послеоперационного отека</w:t>
            </w:r>
          </w:p>
        </w:tc>
        <w:tc>
          <w:tcPr>
            <w:tcW w:w="21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20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Б</w:t>
            </w:r>
          </w:p>
        </w:tc>
      </w:tr>
      <w:tr>
        <w:trPr/>
        <w:tc>
          <w:tcPr>
            <w:tcW w:w="7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20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4.4</w:t>
            </w:r>
          </w:p>
        </w:tc>
        <w:tc>
          <w:tcPr>
            <w:tcW w:w="49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Отсутствие послеоперационных осложнений</w:t>
            </w:r>
          </w:p>
        </w:tc>
        <w:tc>
          <w:tcPr>
            <w:tcW w:w="21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20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Б</w:t>
            </w:r>
          </w:p>
        </w:tc>
      </w:tr>
      <w:tr>
        <w:trPr/>
        <w:tc>
          <w:tcPr>
            <w:tcW w:w="7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20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4.5</w:t>
            </w:r>
          </w:p>
        </w:tc>
        <w:tc>
          <w:tcPr>
            <w:tcW w:w="49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Отсутствие послеоперационного рубца, либо его минимальный размер</w:t>
            </w:r>
          </w:p>
        </w:tc>
        <w:tc>
          <w:tcPr>
            <w:tcW w:w="21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20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Б</w:t>
            </w:r>
          </w:p>
        </w:tc>
      </w:tr>
      <w:tr>
        <w:trPr/>
        <w:tc>
          <w:tcPr>
            <w:tcW w:w="7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20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4.6</w:t>
            </w:r>
          </w:p>
        </w:tc>
        <w:tc>
          <w:tcPr>
            <w:tcW w:w="49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Наличие рекомендаций о способах устранения ЗЧА</w:t>
            </w:r>
          </w:p>
        </w:tc>
        <w:tc>
          <w:tcPr>
            <w:tcW w:w="21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20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Б</w:t>
            </w:r>
          </w:p>
        </w:tc>
      </w:tr>
    </w:tbl>
    <w:p>
      <w:pPr>
        <w:pStyle w:val="Normal"/>
        <w:keepNext w:val="true"/>
        <w:keepLines/>
        <w:spacing w:lineRule="auto" w:line="360" w:before="0" w:after="0"/>
        <w:jc w:val="both"/>
        <w:rPr>
          <w:rFonts w:eastAsia="Times New Roman"/>
          <w:b/>
          <w:b/>
          <w:sz w:val="24"/>
          <w:szCs w:val="24"/>
        </w:rPr>
      </w:pPr>
      <w:r>
        <w:rPr>
          <w:rFonts w:eastAsia="Times New Roman"/>
          <w:b/>
          <w:sz w:val="24"/>
          <w:szCs w:val="24"/>
        </w:rPr>
      </w:r>
    </w:p>
    <w:p>
      <w:pPr>
        <w:pStyle w:val="1"/>
        <w:keepLines/>
        <w:rPr/>
      </w:pPr>
      <w:bookmarkStart w:id="60" w:name="__RefHeading___Toc10555_2770555280"/>
      <w:bookmarkStart w:id="61" w:name="_4r203soo6k2j"/>
      <w:bookmarkEnd w:id="60"/>
      <w:bookmarkEnd w:id="61"/>
      <w:r>
        <w:rPr/>
        <w:t>Список литературы</w:t>
      </w:r>
    </w:p>
    <w:p>
      <w:pPr>
        <w:pStyle w:val="Normal"/>
        <w:numPr>
          <w:ilvl w:val="0"/>
          <w:numId w:val="9"/>
        </w:numPr>
        <w:spacing w:lineRule="auto" w:line="360" w:before="120" w:after="0"/>
        <w:ind w:left="0" w:hanging="0"/>
        <w:jc w:val="both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sz w:val="24"/>
          <w:szCs w:val="24"/>
        </w:rPr>
        <w:t>Соловьев М. М., Семенов Г. М., Галецкий Д. В. Оперативное лечение одонтогенных кист: руководство для врачей - С - П.: СпецЛит, 2004; 129 с.</w:t>
      </w:r>
    </w:p>
    <w:p>
      <w:pPr>
        <w:pStyle w:val="Normal"/>
        <w:numPr>
          <w:ilvl w:val="0"/>
          <w:numId w:val="9"/>
        </w:numPr>
        <w:spacing w:lineRule="auto" w:line="360" w:before="120" w:after="0"/>
        <w:ind w:left="0" w:hanging="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Афанасьев В. В. Хирургическая стоматология: учебник - М. ГЭОТАР-Медиа, 2011; 880 с.</w:t>
      </w:r>
    </w:p>
    <w:p>
      <w:pPr>
        <w:pStyle w:val="Normal"/>
        <w:numPr>
          <w:ilvl w:val="0"/>
          <w:numId w:val="9"/>
        </w:numPr>
        <w:spacing w:lineRule="auto" w:line="360" w:before="120" w:after="0"/>
        <w:ind w:left="0" w:hanging="0"/>
        <w:jc w:val="both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Янушевич О. О., Кисельникова Л. П., Топольницкий О. З. </w:t>
      </w:r>
      <w:r>
        <w:rPr>
          <w:rFonts w:eastAsia="Times New Roman"/>
          <w:color w:val="000000"/>
          <w:sz w:val="24"/>
          <w:szCs w:val="24"/>
        </w:rPr>
        <w:t>Детская стоматология: учебник – М.:ГЭОТАР-Медиа</w:t>
      </w:r>
      <w:r>
        <w:rPr>
          <w:rFonts w:eastAsia="Times New Roman"/>
          <w:sz w:val="24"/>
          <w:szCs w:val="24"/>
        </w:rPr>
        <w:t>,</w:t>
      </w:r>
      <w:r>
        <w:rPr>
          <w:rFonts w:eastAsia="Times New Roman"/>
          <w:color w:val="000000"/>
          <w:sz w:val="24"/>
          <w:szCs w:val="24"/>
        </w:rPr>
        <w:t xml:space="preserve"> 2017</w:t>
      </w:r>
      <w:r>
        <w:rPr>
          <w:rFonts w:eastAsia="Times New Roman"/>
          <w:sz w:val="24"/>
          <w:szCs w:val="24"/>
        </w:rPr>
        <w:t>;</w:t>
      </w:r>
      <w:r>
        <w:rPr>
          <w:rFonts w:eastAsia="Times New Roman"/>
          <w:color w:val="000000"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с</w:t>
      </w:r>
      <w:r>
        <w:rPr>
          <w:rFonts w:eastAsia="Times New Roman"/>
          <w:color w:val="000000"/>
          <w:sz w:val="24"/>
          <w:szCs w:val="24"/>
        </w:rPr>
        <w:t>.</w:t>
      </w:r>
      <w:r>
        <w:rPr>
          <w:rFonts w:eastAsia="Times New Roman"/>
          <w:sz w:val="24"/>
          <w:szCs w:val="24"/>
        </w:rPr>
        <w:t>53</w:t>
      </w:r>
      <w:r>
        <w:rPr>
          <w:rFonts w:eastAsia="Times New Roman"/>
          <w:color w:val="000000"/>
          <w:sz w:val="24"/>
          <w:szCs w:val="24"/>
        </w:rPr>
        <w:t xml:space="preserve">8 - </w:t>
      </w:r>
      <w:r>
        <w:rPr>
          <w:rFonts w:eastAsia="Times New Roman"/>
          <w:sz w:val="24"/>
          <w:szCs w:val="24"/>
        </w:rPr>
        <w:t>544</w:t>
      </w:r>
      <w:r>
        <w:rPr>
          <w:rFonts w:eastAsia="Times New Roman"/>
          <w:color w:val="000000"/>
          <w:sz w:val="24"/>
          <w:szCs w:val="24"/>
        </w:rPr>
        <w:t xml:space="preserve">. </w:t>
      </w:r>
    </w:p>
    <w:p>
      <w:pPr>
        <w:pStyle w:val="Normal"/>
        <w:numPr>
          <w:ilvl w:val="0"/>
          <w:numId w:val="9"/>
        </w:numPr>
        <w:spacing w:lineRule="auto" w:line="360" w:before="0" w:after="0"/>
        <w:ind w:left="0" w:hanging="0"/>
        <w:jc w:val="both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Персин Л.С., Елизарова В.М., Дьякова С.В. </w:t>
      </w:r>
      <w:r>
        <w:rPr>
          <w:rFonts w:eastAsia="Times New Roman"/>
          <w:color w:val="000000"/>
          <w:sz w:val="24"/>
          <w:szCs w:val="24"/>
        </w:rPr>
        <w:t>Стоматология детского возраста</w:t>
      </w:r>
      <w:r>
        <w:rPr>
          <w:rFonts w:eastAsia="Times New Roman"/>
          <w:sz w:val="24"/>
          <w:szCs w:val="24"/>
        </w:rPr>
        <w:t xml:space="preserve">. </w:t>
      </w:r>
      <w:r>
        <w:rPr>
          <w:rFonts w:eastAsia="Times New Roman"/>
          <w:color w:val="000000"/>
          <w:sz w:val="24"/>
          <w:szCs w:val="24"/>
        </w:rPr>
        <w:t>- М.</w:t>
      </w:r>
      <w:r>
        <w:rPr>
          <w:rFonts w:eastAsia="Times New Roman"/>
          <w:sz w:val="24"/>
          <w:szCs w:val="24"/>
        </w:rPr>
        <w:t xml:space="preserve">: </w:t>
      </w:r>
      <w:r>
        <w:rPr>
          <w:rFonts w:eastAsia="Times New Roman"/>
          <w:color w:val="000000"/>
          <w:sz w:val="24"/>
          <w:szCs w:val="24"/>
        </w:rPr>
        <w:t>Медицина, 200</w:t>
      </w:r>
      <w:r>
        <w:rPr>
          <w:rFonts w:eastAsia="Times New Roman"/>
          <w:sz w:val="24"/>
          <w:szCs w:val="24"/>
        </w:rPr>
        <w:t>3;</w:t>
      </w:r>
      <w:r>
        <w:rPr>
          <w:rFonts w:eastAsia="Times New Roman"/>
          <w:color w:val="000000"/>
          <w:sz w:val="24"/>
          <w:szCs w:val="24"/>
        </w:rPr>
        <w:t xml:space="preserve"> 639 с.</w:t>
      </w:r>
    </w:p>
    <w:p>
      <w:pPr>
        <w:pStyle w:val="Normal"/>
        <w:numPr>
          <w:ilvl w:val="0"/>
          <w:numId w:val="9"/>
        </w:numPr>
        <w:spacing w:lineRule="auto" w:line="360" w:before="0" w:after="0"/>
        <w:ind w:left="0" w:hanging="0"/>
        <w:jc w:val="both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М</w:t>
      </w:r>
      <w:r>
        <w:rPr>
          <w:rFonts w:eastAsia="Times New Roman"/>
          <w:color w:val="000000"/>
        </w:rPr>
        <w:t>ак — Дональд Р., Эйвери Д. Стоматология детей и подростков. - М.: Медицинское информационное агенство, 2003; 766 с.</w:t>
      </w:r>
    </w:p>
    <w:p>
      <w:pPr>
        <w:pStyle w:val="Normal"/>
        <w:numPr>
          <w:ilvl w:val="0"/>
          <w:numId w:val="9"/>
        </w:numPr>
        <w:spacing w:lineRule="auto" w:line="360" w:before="0" w:after="0"/>
        <w:ind w:left="0" w:right="0" w:hanging="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Камерон А., Уидмера Р. Справочник по детской стоматологии - М.: МЕДпресс - информ, 2003; с. 239 - 245.</w:t>
      </w:r>
    </w:p>
    <w:p>
      <w:pPr>
        <w:pStyle w:val="Normal"/>
        <w:spacing w:lineRule="auto" w:line="360" w:before="0" w:after="0"/>
        <w:jc w:val="both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</w:r>
    </w:p>
    <w:p>
      <w:pPr>
        <w:pStyle w:val="Normal"/>
        <w:spacing w:lineRule="auto" w:line="360" w:before="0" w:after="0"/>
        <w:jc w:val="both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</w:r>
    </w:p>
    <w:p>
      <w:pPr>
        <w:pStyle w:val="Normal"/>
        <w:spacing w:lineRule="auto" w:line="360" w:before="0" w:after="0"/>
        <w:jc w:val="both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</w:r>
    </w:p>
    <w:p>
      <w:pPr>
        <w:pStyle w:val="Normal"/>
        <w:spacing w:lineRule="auto" w:line="360" w:before="0" w:after="0"/>
        <w:jc w:val="both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</w:r>
    </w:p>
    <w:p>
      <w:pPr>
        <w:pStyle w:val="Normal"/>
        <w:spacing w:lineRule="auto" w:line="360" w:before="0" w:after="0"/>
        <w:jc w:val="both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</w:r>
    </w:p>
    <w:p>
      <w:pPr>
        <w:pStyle w:val="Normal"/>
        <w:spacing w:lineRule="auto" w:line="360" w:before="0" w:after="0"/>
        <w:jc w:val="both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</w:r>
    </w:p>
    <w:p>
      <w:pPr>
        <w:pStyle w:val="Normal"/>
        <w:spacing w:lineRule="auto" w:line="360" w:before="0" w:after="0"/>
        <w:jc w:val="both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</w:r>
    </w:p>
    <w:p>
      <w:pPr>
        <w:pStyle w:val="Normal"/>
        <w:spacing w:lineRule="auto" w:line="360" w:before="0" w:after="0"/>
        <w:jc w:val="both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</w:r>
    </w:p>
    <w:p>
      <w:pPr>
        <w:pStyle w:val="Normal"/>
        <w:spacing w:lineRule="auto" w:line="360" w:before="0" w:after="0"/>
        <w:jc w:val="both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</w:r>
    </w:p>
    <w:p>
      <w:pPr>
        <w:pStyle w:val="Normal"/>
        <w:spacing w:lineRule="auto" w:line="360" w:before="0" w:after="0"/>
        <w:jc w:val="both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</w:r>
    </w:p>
    <w:p>
      <w:pPr>
        <w:pStyle w:val="Normal"/>
        <w:spacing w:lineRule="auto" w:line="360" w:before="0" w:after="0"/>
        <w:jc w:val="both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</w:r>
    </w:p>
    <w:p>
      <w:pPr>
        <w:pStyle w:val="1"/>
        <w:keepLines/>
        <w:rPr/>
      </w:pPr>
      <w:bookmarkStart w:id="62" w:name="__RefHeading___Toc10557_2770555280"/>
      <w:bookmarkStart w:id="63" w:name="_1ci93xb"/>
      <w:bookmarkEnd w:id="62"/>
      <w:bookmarkEnd w:id="63"/>
      <w:r>
        <w:rPr/>
        <w:t>Приложение А1. Состав рабочей группы по разработке и пересмотру клинических рекомендаций</w:t>
      </w:r>
    </w:p>
    <w:p>
      <w:pPr>
        <w:pStyle w:val="Normal"/>
        <w:spacing w:lineRule="auto" w:line="360"/>
        <w:jc w:val="both"/>
        <w:rPr>
          <w:rFonts w:eastAsia="Times New Roman"/>
          <w:b/>
          <w:b/>
          <w:sz w:val="24"/>
          <w:szCs w:val="24"/>
        </w:rPr>
      </w:pPr>
      <w:r>
        <w:rPr>
          <w:rFonts w:eastAsia="Times New Roman"/>
          <w:b/>
          <w:sz w:val="24"/>
          <w:szCs w:val="24"/>
        </w:rPr>
        <w:t xml:space="preserve">Першина Александра Николаевна - </w:t>
      </w:r>
      <w:r>
        <w:rPr>
          <w:rFonts w:eastAsia="Times New Roman"/>
          <w:sz w:val="24"/>
          <w:szCs w:val="24"/>
        </w:rPr>
        <w:t>штатный врач отделения хирургической стоматологии (детского), врач хирург - стоматолог;</w:t>
      </w:r>
    </w:p>
    <w:p>
      <w:pPr>
        <w:pStyle w:val="Normal"/>
        <w:spacing w:lineRule="auto" w:line="360"/>
        <w:jc w:val="both"/>
        <w:rPr>
          <w:rFonts w:eastAsia="Times New Roman"/>
          <w:sz w:val="24"/>
          <w:szCs w:val="24"/>
        </w:rPr>
      </w:pPr>
      <w:bookmarkStart w:id="64" w:name="_nke06d12xbsq"/>
      <w:bookmarkEnd w:id="64"/>
      <w:r>
        <w:rPr>
          <w:rFonts w:eastAsia="Times New Roman"/>
          <w:b/>
          <w:sz w:val="24"/>
          <w:szCs w:val="24"/>
        </w:rPr>
        <w:t>Топольницкий Орест Зиновьевич -</w:t>
      </w:r>
      <w:r>
        <w:rPr>
          <w:rFonts w:eastAsia="Times New Roman"/>
          <w:sz w:val="24"/>
          <w:szCs w:val="24"/>
        </w:rPr>
        <w:t xml:space="preserve"> д. м. н., профессор, заслуженный врач России, заведующий кафедрой ДЧЛХ МГМСУ им. А. И. Евдокимова, врач челюстно - лицевой хирург;</w:t>
      </w:r>
    </w:p>
    <w:p>
      <w:pPr>
        <w:pStyle w:val="Normal"/>
        <w:spacing w:lineRule="auto" w:line="360"/>
        <w:jc w:val="both"/>
        <w:rPr>
          <w:rFonts w:eastAsia="Times New Roman"/>
          <w:sz w:val="24"/>
          <w:szCs w:val="24"/>
        </w:rPr>
      </w:pPr>
      <w:bookmarkStart w:id="65" w:name="_b5e1yazaq1zz"/>
      <w:bookmarkEnd w:id="65"/>
      <w:r>
        <w:rPr>
          <w:rFonts w:eastAsia="Times New Roman"/>
          <w:b/>
          <w:sz w:val="24"/>
          <w:szCs w:val="24"/>
        </w:rPr>
        <w:t xml:space="preserve">Черняев Сергей Евгеньевич - </w:t>
      </w:r>
      <w:r>
        <w:rPr>
          <w:rFonts w:eastAsia="Times New Roman"/>
          <w:sz w:val="24"/>
          <w:szCs w:val="24"/>
        </w:rPr>
        <w:t>к. м. н., заведующий отделением хирургической стоматологии (детского), врач хирург - стоматолог;</w:t>
      </w:r>
    </w:p>
    <w:p>
      <w:pPr>
        <w:pStyle w:val="Normal"/>
        <w:spacing w:lineRule="auto" w:line="360"/>
        <w:jc w:val="both"/>
        <w:rPr>
          <w:rFonts w:eastAsia="Times New Roman"/>
          <w:b/>
          <w:b/>
          <w:sz w:val="24"/>
          <w:szCs w:val="24"/>
        </w:rPr>
      </w:pPr>
      <w:bookmarkStart w:id="66" w:name="_v3ychfeko9al"/>
      <w:bookmarkEnd w:id="66"/>
      <w:r>
        <w:rPr>
          <w:rFonts w:eastAsia="Times New Roman"/>
          <w:b/>
          <w:sz w:val="24"/>
          <w:szCs w:val="24"/>
        </w:rPr>
        <w:t xml:space="preserve">Гургенадзе Анна Панаетовна </w:t>
      </w:r>
      <w:r>
        <w:rPr>
          <w:rFonts w:eastAsia="Times New Roman"/>
          <w:sz w:val="24"/>
          <w:szCs w:val="24"/>
        </w:rPr>
        <w:t>- к. м. н., доцент, заведующая учебной частью кафедры ДЧЛХ МГМСУ им. А. И. Евдокимова</w:t>
      </w:r>
    </w:p>
    <w:p>
      <w:pPr>
        <w:pStyle w:val="Normal"/>
        <w:spacing w:lineRule="auto" w:line="36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</w:r>
      <w:bookmarkStart w:id="67" w:name="_enb5tj5w0ofl"/>
      <w:bookmarkStart w:id="68" w:name="_enb5tj5w0ofl"/>
      <w:bookmarkEnd w:id="68"/>
    </w:p>
    <w:p>
      <w:pPr>
        <w:pStyle w:val="Normal"/>
        <w:spacing w:lineRule="auto" w:line="36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</w:r>
    </w:p>
    <w:p>
      <w:pPr>
        <w:pStyle w:val="Normal"/>
        <w:spacing w:lineRule="auto" w:line="36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Конфликт интересов: отсутствует.</w:t>
      </w:r>
    </w:p>
    <w:p>
      <w:pPr>
        <w:pStyle w:val="Normal"/>
        <w:spacing w:lineRule="auto" w:line="36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</w:r>
      <w:r>
        <w:br w:type="page"/>
      </w:r>
    </w:p>
    <w:p>
      <w:pPr>
        <w:pStyle w:val="1"/>
        <w:keepLines/>
        <w:rPr/>
      </w:pPr>
      <w:bookmarkStart w:id="69" w:name="__RefHeading___Toc10559_2770555280"/>
      <w:bookmarkStart w:id="70" w:name="_2bn6wsx"/>
      <w:bookmarkEnd w:id="69"/>
      <w:bookmarkEnd w:id="70"/>
      <w:r>
        <w:rPr/>
        <w:t>Приложение А2. Методология разработки клинических рекомендаций</w:t>
      </w:r>
    </w:p>
    <w:p>
      <w:pPr>
        <w:pStyle w:val="Normal"/>
        <w:spacing w:lineRule="auto" w:line="36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b/>
          <w:sz w:val="24"/>
          <w:szCs w:val="24"/>
        </w:rPr>
        <w:t>Целевая аудитория данных клинических рекомендаций:</w:t>
      </w:r>
    </w:p>
    <w:p>
      <w:pPr>
        <w:pStyle w:val="Normal"/>
        <w:numPr>
          <w:ilvl w:val="0"/>
          <w:numId w:val="7"/>
        </w:numPr>
        <w:spacing w:lineRule="auto" w:line="360" w:before="0" w:after="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Врачи-стоматологи общей практики 31.08.72</w:t>
      </w:r>
    </w:p>
    <w:p>
      <w:pPr>
        <w:pStyle w:val="Normal"/>
        <w:numPr>
          <w:ilvl w:val="0"/>
          <w:numId w:val="7"/>
        </w:numPr>
        <w:spacing w:lineRule="auto" w:line="360" w:before="0" w:after="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Врачи-стоматологи-терапевты 31.08.73</w:t>
      </w:r>
    </w:p>
    <w:p>
      <w:pPr>
        <w:pStyle w:val="Normal"/>
        <w:numPr>
          <w:ilvl w:val="0"/>
          <w:numId w:val="7"/>
        </w:numPr>
        <w:spacing w:lineRule="auto" w:line="360" w:before="0" w:after="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Врачи - стоматологи - хирурги 31.08.74</w:t>
      </w:r>
    </w:p>
    <w:p>
      <w:pPr>
        <w:pStyle w:val="Normal"/>
        <w:numPr>
          <w:ilvl w:val="0"/>
          <w:numId w:val="7"/>
        </w:numPr>
        <w:spacing w:lineRule="auto" w:line="360" w:before="0" w:after="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Врачи-стоматологи детские 31.08.76</w:t>
      </w:r>
    </w:p>
    <w:p>
      <w:pPr>
        <w:pStyle w:val="Normal"/>
        <w:numPr>
          <w:ilvl w:val="0"/>
          <w:numId w:val="7"/>
        </w:numPr>
        <w:spacing w:lineRule="auto" w:line="36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Врачи-ортодонты 31.08.77 </w:t>
      </w:r>
    </w:p>
    <w:p>
      <w:pPr>
        <w:pStyle w:val="Normal"/>
        <w:spacing w:lineRule="auto" w:line="360"/>
        <w:jc w:val="both"/>
        <w:rPr/>
      </w:pPr>
      <w:r>
        <w:rPr>
          <w:rFonts w:eastAsia="Times New Roman"/>
          <w:b/>
          <w:sz w:val="24"/>
          <w:szCs w:val="24"/>
        </w:rPr>
        <w:t xml:space="preserve">Таблица 1. </w:t>
      </w:r>
      <w:r>
        <w:rPr>
          <w:rFonts w:eastAsia="Times New Roman"/>
          <w:b w:val="false"/>
          <w:bCs w:val="false"/>
          <w:sz w:val="24"/>
          <w:szCs w:val="24"/>
        </w:rPr>
        <w:t>Шкала оценки уровней достоверности доказательств (УДД) для методов диагностики (диагностических вмешательств)</w:t>
      </w:r>
    </w:p>
    <w:tbl>
      <w:tblPr>
        <w:tblW w:w="9346" w:type="dxa"/>
        <w:jc w:val="left"/>
        <w:tblInd w:w="57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1529"/>
        <w:gridCol w:w="7816"/>
      </w:tblGrid>
      <w:tr>
        <w:trPr/>
        <w:tc>
          <w:tcPr>
            <w:tcW w:w="1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Style21"/>
              <w:widowControl w:val="false"/>
              <w:spacing w:before="0" w:after="200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  <w:t>УДД</w:t>
            </w:r>
          </w:p>
        </w:tc>
        <w:tc>
          <w:tcPr>
            <w:tcW w:w="7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  <w:vAlign w:val="center"/>
          </w:tcPr>
          <w:p>
            <w:pPr>
              <w:pStyle w:val="Style21"/>
              <w:widowControl w:val="false"/>
              <w:spacing w:before="0" w:after="200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  <w:t>Расшифровка</w:t>
            </w:r>
          </w:p>
        </w:tc>
      </w:tr>
      <w:tr>
        <w:trPr/>
        <w:tc>
          <w:tcPr>
            <w:tcW w:w="1529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Style21"/>
              <w:widowControl w:val="false"/>
              <w:spacing w:before="0" w:after="200"/>
              <w:jc w:val="center"/>
              <w:rPr/>
            </w:pPr>
            <w:r>
              <w:rPr/>
              <w:t>1</w:t>
            </w:r>
          </w:p>
        </w:tc>
        <w:tc>
          <w:tcPr>
            <w:tcW w:w="781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  <w:vAlign w:val="center"/>
          </w:tcPr>
          <w:p>
            <w:pPr>
              <w:pStyle w:val="Style11"/>
              <w:widowControl w:val="false"/>
              <w:spacing w:lineRule="auto" w:line="276" w:before="0" w:after="140"/>
              <w:rPr/>
            </w:pPr>
            <w:r>
              <w:rPr/>
              <w:t>Систематические обзоры исследований с контролем  референсным методом или систематический обзор рандомизированных клинических исследований с применением мета - анализа</w:t>
            </w:r>
          </w:p>
        </w:tc>
      </w:tr>
      <w:tr>
        <w:trPr/>
        <w:tc>
          <w:tcPr>
            <w:tcW w:w="1529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Style21"/>
              <w:widowControl w:val="false"/>
              <w:spacing w:before="0" w:after="200"/>
              <w:jc w:val="center"/>
              <w:rPr/>
            </w:pPr>
            <w:r>
              <w:rPr/>
              <w:t>2</w:t>
            </w:r>
          </w:p>
        </w:tc>
        <w:tc>
          <w:tcPr>
            <w:tcW w:w="781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  <w:vAlign w:val="center"/>
          </w:tcPr>
          <w:p>
            <w:pPr>
              <w:pStyle w:val="Style11"/>
              <w:widowControl w:val="false"/>
              <w:spacing w:lineRule="auto" w:line="276" w:before="0" w:after="140"/>
              <w:rPr/>
            </w:pPr>
            <w:r>
              <w:rPr/>
              <w:t>Отдельные исследования с контролем референсным методом или отдельные рандоминизированные клинические исследования и систематические обзоры исследований любого дизайна, за исключением рандоминизированных клинических исследований, с применением мета - анализа</w:t>
            </w:r>
          </w:p>
        </w:tc>
      </w:tr>
      <w:tr>
        <w:trPr/>
        <w:tc>
          <w:tcPr>
            <w:tcW w:w="1529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Style21"/>
              <w:widowControl w:val="false"/>
              <w:spacing w:before="0" w:after="200"/>
              <w:jc w:val="center"/>
              <w:rPr/>
            </w:pPr>
            <w:r>
              <w:rPr/>
              <w:t>3</w:t>
            </w:r>
          </w:p>
        </w:tc>
        <w:tc>
          <w:tcPr>
            <w:tcW w:w="781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  <w:vAlign w:val="center"/>
          </w:tcPr>
          <w:p>
            <w:pPr>
              <w:pStyle w:val="Style11"/>
              <w:widowControl w:val="false"/>
              <w:spacing w:lineRule="auto" w:line="276" w:before="0" w:after="140"/>
              <w:rPr/>
            </w:pPr>
            <w:r>
              <w:rPr/>
              <w:t>Исследования без последовательного контроля референсным методом или исследования с референсным методом, не являющимся независимым от исследуемого метода или рандомизированные сравнительные исследования, в том числе когортные исследования</w:t>
            </w:r>
          </w:p>
        </w:tc>
      </w:tr>
      <w:tr>
        <w:trPr/>
        <w:tc>
          <w:tcPr>
            <w:tcW w:w="1529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Style21"/>
              <w:widowControl w:val="false"/>
              <w:spacing w:before="0" w:after="200"/>
              <w:jc w:val="center"/>
              <w:rPr/>
            </w:pPr>
            <w:r>
              <w:rPr/>
              <w:t>4</w:t>
            </w:r>
          </w:p>
        </w:tc>
        <w:tc>
          <w:tcPr>
            <w:tcW w:w="781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  <w:vAlign w:val="center"/>
          </w:tcPr>
          <w:p>
            <w:pPr>
              <w:pStyle w:val="Style11"/>
              <w:widowControl w:val="false"/>
              <w:spacing w:before="0" w:after="140"/>
              <w:rPr/>
            </w:pPr>
            <w:r>
              <w:rPr/>
              <w:t>Несравнительные исследования, описание клинического случая</w:t>
            </w:r>
          </w:p>
        </w:tc>
      </w:tr>
      <w:tr>
        <w:trPr/>
        <w:tc>
          <w:tcPr>
            <w:tcW w:w="1529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Style21"/>
              <w:widowControl w:val="false"/>
              <w:spacing w:before="0" w:after="200"/>
              <w:jc w:val="center"/>
              <w:rPr/>
            </w:pPr>
            <w:r>
              <w:rPr/>
              <w:t>5</w:t>
            </w:r>
          </w:p>
        </w:tc>
        <w:tc>
          <w:tcPr>
            <w:tcW w:w="781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  <w:vAlign w:val="center"/>
          </w:tcPr>
          <w:p>
            <w:pPr>
              <w:pStyle w:val="Style11"/>
              <w:widowControl w:val="false"/>
              <w:spacing w:before="0" w:after="140"/>
              <w:rPr/>
            </w:pPr>
            <w:r>
              <w:rPr/>
              <w:t>Имеются лишь обоснование механизма действия или мнение экспертов</w:t>
            </w:r>
          </w:p>
        </w:tc>
      </w:tr>
    </w:tbl>
    <w:p>
      <w:pPr>
        <w:pStyle w:val="Normal"/>
        <w:spacing w:lineRule="auto" w:line="360"/>
        <w:jc w:val="both"/>
        <w:rPr>
          <w:rFonts w:eastAsia="Times New Roman"/>
          <w:b w:val="false"/>
          <w:b w:val="false"/>
          <w:bCs w:val="false"/>
          <w:sz w:val="24"/>
          <w:szCs w:val="24"/>
        </w:rPr>
      </w:pPr>
      <w:r>
        <w:rPr>
          <w:rFonts w:eastAsia="Times New Roman"/>
          <w:b w:val="false"/>
          <w:bCs w:val="false"/>
          <w:sz w:val="24"/>
          <w:szCs w:val="24"/>
        </w:rPr>
      </w:r>
    </w:p>
    <w:p>
      <w:pPr>
        <w:pStyle w:val="Normal"/>
        <w:spacing w:lineRule="auto" w:line="360"/>
        <w:jc w:val="both"/>
        <w:rPr/>
      </w:pPr>
      <w:r>
        <w:rPr>
          <w:rFonts w:eastAsia="Times New Roman"/>
          <w:b/>
          <w:sz w:val="24"/>
          <w:szCs w:val="24"/>
        </w:rPr>
        <w:t xml:space="preserve">Таблица 2. </w:t>
      </w:r>
      <w:r>
        <w:rPr>
          <w:rFonts w:eastAsia="Times New Roman"/>
          <w:b w:val="false"/>
          <w:bCs w:val="false"/>
          <w:sz w:val="24"/>
          <w:szCs w:val="24"/>
        </w:rPr>
        <w:t>Шкала оценки уровней достоверности доказательств (УДД) для методов профилактики, лечения и реабилитации (профилактических, лечебных, реабилитационных вмешательств)</w:t>
      </w:r>
    </w:p>
    <w:tbl>
      <w:tblPr>
        <w:tblW w:w="9346" w:type="dxa"/>
        <w:jc w:val="left"/>
        <w:tblInd w:w="57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1529"/>
        <w:gridCol w:w="7816"/>
      </w:tblGrid>
      <w:tr>
        <w:trPr/>
        <w:tc>
          <w:tcPr>
            <w:tcW w:w="1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Style21"/>
              <w:widowControl w:val="false"/>
              <w:spacing w:before="0" w:after="200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  <w:t>УДД</w:t>
            </w:r>
          </w:p>
        </w:tc>
        <w:tc>
          <w:tcPr>
            <w:tcW w:w="7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Style21"/>
              <w:widowControl w:val="false"/>
              <w:spacing w:before="0" w:after="200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  <w:t>Расшифровка</w:t>
            </w:r>
          </w:p>
        </w:tc>
      </w:tr>
      <w:tr>
        <w:trPr/>
        <w:tc>
          <w:tcPr>
            <w:tcW w:w="1529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Style21"/>
              <w:widowControl w:val="false"/>
              <w:spacing w:before="0" w:after="200"/>
              <w:jc w:val="center"/>
              <w:rPr/>
            </w:pPr>
            <w:r>
              <w:rPr/>
              <w:t>1</w:t>
            </w:r>
          </w:p>
        </w:tc>
        <w:tc>
          <w:tcPr>
            <w:tcW w:w="781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Style21"/>
              <w:widowControl w:val="false"/>
              <w:spacing w:before="0" w:after="200"/>
              <w:jc w:val="both"/>
              <w:rPr/>
            </w:pPr>
            <w:r>
              <w:rPr/>
              <w:t>Систематический обзор РКИ с применением мета - анализа</w:t>
            </w:r>
          </w:p>
        </w:tc>
      </w:tr>
      <w:tr>
        <w:trPr/>
        <w:tc>
          <w:tcPr>
            <w:tcW w:w="1529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Style21"/>
              <w:widowControl w:val="false"/>
              <w:spacing w:before="0" w:after="200"/>
              <w:jc w:val="center"/>
              <w:rPr/>
            </w:pPr>
            <w:r>
              <w:rPr/>
              <w:t>2</w:t>
            </w:r>
          </w:p>
        </w:tc>
        <w:tc>
          <w:tcPr>
            <w:tcW w:w="781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Style21"/>
              <w:widowControl w:val="false"/>
              <w:spacing w:before="0" w:after="200"/>
              <w:jc w:val="both"/>
              <w:rPr/>
            </w:pPr>
            <w:r>
              <w:rPr/>
              <w:t>Отдельные РКИ и систематические обзоры исследований любого дизайна, за исключением РКИ, с применением мета - анализа</w:t>
            </w:r>
          </w:p>
        </w:tc>
      </w:tr>
      <w:tr>
        <w:trPr/>
        <w:tc>
          <w:tcPr>
            <w:tcW w:w="1529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Style21"/>
              <w:widowControl w:val="false"/>
              <w:spacing w:before="0" w:after="200"/>
              <w:jc w:val="center"/>
              <w:rPr/>
            </w:pPr>
            <w:r>
              <w:rPr/>
              <w:t>3</w:t>
            </w:r>
          </w:p>
        </w:tc>
        <w:tc>
          <w:tcPr>
            <w:tcW w:w="781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Style21"/>
              <w:widowControl w:val="false"/>
              <w:spacing w:before="0" w:after="200"/>
              <w:jc w:val="both"/>
              <w:rPr/>
            </w:pPr>
            <w:r>
              <w:rPr/>
              <w:t>Нерандоминизированные сравнительные исследования, в т. ч. когортные исследования</w:t>
            </w:r>
          </w:p>
        </w:tc>
      </w:tr>
      <w:tr>
        <w:trPr/>
        <w:tc>
          <w:tcPr>
            <w:tcW w:w="1529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Style21"/>
              <w:widowControl w:val="false"/>
              <w:spacing w:before="0" w:after="200"/>
              <w:jc w:val="center"/>
              <w:rPr/>
            </w:pPr>
            <w:r>
              <w:rPr/>
              <w:t>4</w:t>
            </w:r>
          </w:p>
        </w:tc>
        <w:tc>
          <w:tcPr>
            <w:tcW w:w="781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Style21"/>
              <w:widowControl w:val="false"/>
              <w:spacing w:before="0" w:after="200"/>
              <w:jc w:val="both"/>
              <w:rPr/>
            </w:pPr>
            <w:r>
              <w:rPr/>
              <w:t>Несравнительные исследования, описание клинического случая или серии случаев, исследование «случай - контроль»</w:t>
            </w:r>
          </w:p>
        </w:tc>
      </w:tr>
      <w:tr>
        <w:trPr/>
        <w:tc>
          <w:tcPr>
            <w:tcW w:w="1529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Style21"/>
              <w:widowControl w:val="false"/>
              <w:spacing w:before="0" w:after="200"/>
              <w:jc w:val="center"/>
              <w:rPr/>
            </w:pPr>
            <w:r>
              <w:rPr/>
              <w:t>5</w:t>
            </w:r>
          </w:p>
        </w:tc>
        <w:tc>
          <w:tcPr>
            <w:tcW w:w="781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Style21"/>
              <w:widowControl w:val="false"/>
              <w:spacing w:before="0" w:after="200"/>
              <w:jc w:val="both"/>
              <w:rPr/>
            </w:pPr>
            <w:r>
              <w:rPr/>
              <w:t>Имеется лишь обоснование механизма действия вмешательства (доклинические исследования) или мнение экспертов</w:t>
            </w:r>
          </w:p>
        </w:tc>
      </w:tr>
    </w:tbl>
    <w:p>
      <w:pPr>
        <w:pStyle w:val="Normal"/>
        <w:spacing w:lineRule="auto" w:line="36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</w:r>
    </w:p>
    <w:p>
      <w:pPr>
        <w:pStyle w:val="Normal"/>
        <w:spacing w:lineRule="auto" w:line="360" w:before="280" w:after="280"/>
        <w:jc w:val="both"/>
        <w:rPr>
          <w:rFonts w:eastAsia="Times New Roman"/>
          <w:b/>
          <w:b/>
          <w:color w:val="00000A"/>
          <w:sz w:val="24"/>
          <w:szCs w:val="24"/>
        </w:rPr>
      </w:pPr>
      <w:r>
        <w:rPr>
          <w:rFonts w:eastAsia="Times New Roman"/>
          <w:b/>
          <w:color w:val="000000"/>
          <w:sz w:val="24"/>
          <w:szCs w:val="24"/>
        </w:rPr>
        <w:t xml:space="preserve">Таблица 3. </w:t>
      </w:r>
      <w:r>
        <w:rPr>
          <w:rFonts w:eastAsia="Times New Roman"/>
          <w:b w:val="false"/>
          <w:bCs w:val="false"/>
          <w:color w:val="000000"/>
          <w:sz w:val="24"/>
          <w:szCs w:val="24"/>
        </w:rPr>
        <w:t>Шкала оценки уровней убедительности рекомендаций (УУР) для методов профилактики, диагностики, лечения и реабилитации (профилактических, диагностических, лечебных, реабилитационных вмешательств)</w:t>
      </w:r>
    </w:p>
    <w:tbl>
      <w:tblPr>
        <w:tblW w:w="9346" w:type="dxa"/>
        <w:jc w:val="left"/>
        <w:tblInd w:w="57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1529"/>
        <w:gridCol w:w="7816"/>
      </w:tblGrid>
      <w:tr>
        <w:trPr/>
        <w:tc>
          <w:tcPr>
            <w:tcW w:w="1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Style21"/>
              <w:widowControl w:val="false"/>
              <w:spacing w:before="0" w:after="200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  <w:t>УРР</w:t>
            </w:r>
          </w:p>
        </w:tc>
        <w:tc>
          <w:tcPr>
            <w:tcW w:w="7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Style21"/>
              <w:widowControl w:val="false"/>
              <w:spacing w:before="0" w:after="200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  <w:t>Расшифровка</w:t>
            </w:r>
          </w:p>
        </w:tc>
      </w:tr>
      <w:tr>
        <w:trPr/>
        <w:tc>
          <w:tcPr>
            <w:tcW w:w="1529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Style21"/>
              <w:widowControl w:val="false"/>
              <w:spacing w:before="0" w:after="200"/>
              <w:jc w:val="center"/>
              <w:rPr/>
            </w:pPr>
            <w:r>
              <w:rPr/>
              <w:t>А</w:t>
            </w:r>
          </w:p>
        </w:tc>
        <w:tc>
          <w:tcPr>
            <w:tcW w:w="781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Style21"/>
              <w:widowControl w:val="false"/>
              <w:spacing w:before="0" w:after="200"/>
              <w:jc w:val="both"/>
              <w:rPr/>
            </w:pPr>
            <w:r>
              <w:rPr/>
              <w:t>Сильная рекомендация (все рассматриваемые критерии эффективности (исходы) являются важными, все исследования имеют высокое или удовлетворительное методологическое качество, их выводы по интересующим исходам являются согласованными)</w:t>
            </w:r>
          </w:p>
        </w:tc>
      </w:tr>
      <w:tr>
        <w:trPr/>
        <w:tc>
          <w:tcPr>
            <w:tcW w:w="1529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Style21"/>
              <w:widowControl w:val="false"/>
              <w:spacing w:before="0" w:after="200"/>
              <w:jc w:val="center"/>
              <w:rPr/>
            </w:pPr>
            <w:r>
              <w:rPr/>
              <w:t>В</w:t>
            </w:r>
          </w:p>
        </w:tc>
        <w:tc>
          <w:tcPr>
            <w:tcW w:w="781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Style21"/>
              <w:widowControl w:val="false"/>
              <w:spacing w:before="0" w:after="200"/>
              <w:jc w:val="both"/>
              <w:rPr/>
            </w:pPr>
            <w:r>
              <w:rPr/>
              <w:t>Условная рекомендация (не все рассматриваемые критерии эффективности (исходы) являются важными, не все исследования имеют высокое или удовлетворительное методологическое качество и/илиих выводы по интересующим исходам не являются согласованными)</w:t>
            </w:r>
          </w:p>
        </w:tc>
      </w:tr>
      <w:tr>
        <w:trPr/>
        <w:tc>
          <w:tcPr>
            <w:tcW w:w="1529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Style21"/>
              <w:widowControl w:val="false"/>
              <w:spacing w:before="0" w:after="200"/>
              <w:jc w:val="center"/>
              <w:rPr/>
            </w:pPr>
            <w:r>
              <w:rPr/>
              <w:t>С</w:t>
            </w:r>
          </w:p>
        </w:tc>
        <w:tc>
          <w:tcPr>
            <w:tcW w:w="781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Style21"/>
              <w:widowControl w:val="false"/>
              <w:spacing w:before="0" w:after="200"/>
              <w:jc w:val="both"/>
              <w:rPr/>
            </w:pPr>
            <w:r>
              <w:rPr/>
              <w:t>Слабая рекомендация (отсутствие доказательств надлежащего качества (все рассматриваемые критерии эффективности (исходы) являются не важными, все исследования имеют низкое методологическое качество и их выводы по интересующим нас исходам не являются согласованными)</w:t>
            </w:r>
          </w:p>
        </w:tc>
      </w:tr>
    </w:tbl>
    <w:p>
      <w:pPr>
        <w:pStyle w:val="Normal"/>
        <w:spacing w:lineRule="auto" w:line="360" w:before="280" w:after="280"/>
        <w:jc w:val="both"/>
        <w:rPr>
          <w:b w:val="false"/>
          <w:b w:val="false"/>
          <w:bCs w:val="false"/>
          <w:color w:val="000000"/>
        </w:rPr>
      </w:pPr>
      <w:r>
        <w:rPr>
          <w:b w:val="false"/>
          <w:bCs w:val="false"/>
          <w:color w:val="000000"/>
        </w:rPr>
      </w:r>
    </w:p>
    <w:p>
      <w:pPr>
        <w:pStyle w:val="Normal"/>
        <w:spacing w:lineRule="auto" w:line="360" w:before="0" w:after="0"/>
        <w:jc w:val="both"/>
        <w:rPr>
          <w:rFonts w:eastAsia="Times New Roman"/>
          <w:sz w:val="24"/>
          <w:szCs w:val="24"/>
        </w:rPr>
      </w:pPr>
      <w:bookmarkStart w:id="71" w:name="_qsh70q"/>
      <w:bookmarkEnd w:id="71"/>
      <w:r>
        <w:rPr>
          <w:rFonts w:eastAsia="Times New Roman"/>
          <w:b/>
          <w:color w:val="000000"/>
          <w:sz w:val="24"/>
          <w:szCs w:val="24"/>
        </w:rPr>
        <w:t>Порядок обновления клинических рекомендаций</w:t>
      </w:r>
      <w:r>
        <w:rPr>
          <w:rFonts w:eastAsia="Times New Roman"/>
          <w:color w:val="000000"/>
          <w:sz w:val="24"/>
          <w:szCs w:val="24"/>
        </w:rPr>
        <w:t xml:space="preserve"> – пересмотр 1 раз в 3 года, при появлении новых данных с позиции доказательной медицины по вопросам диагностики, лечения, профилактики и реабилитации конкретных заболеваний, наличии обоснованных дополнений/замечаний к ранее утвержденным КР, на не чаще 1 раза в 6 месяцев.</w:t>
      </w:r>
      <w:r>
        <w:br w:type="page"/>
      </w:r>
    </w:p>
    <w:p>
      <w:pPr>
        <w:pStyle w:val="Normal"/>
        <w:rPr>
          <w:b/>
          <w:b/>
          <w:bCs/>
          <w:sz w:val="28"/>
          <w:szCs w:val="28"/>
        </w:rPr>
      </w:pPr>
      <w:r>
        <mc:AlternateContent>
          <mc:Choice Requires="wps">
            <w:drawing>
              <wp:anchor behindDoc="0" distT="0" distB="0" distL="0" distR="0" simplePos="0" locked="0" layoutInCell="0" allowOverlap="1" relativeHeight="34" wp14:anchorId="5F688D5B">
                <wp:simplePos x="0" y="0"/>
                <wp:positionH relativeFrom="column">
                  <wp:posOffset>1139825</wp:posOffset>
                </wp:positionH>
                <wp:positionV relativeFrom="paragraph">
                  <wp:posOffset>271145</wp:posOffset>
                </wp:positionV>
                <wp:extent cx="2736215" cy="269240"/>
                <wp:effectExtent l="0" t="0" r="28575" b="19050"/>
                <wp:wrapNone/>
                <wp:docPr id="1" name="Надпись 4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35640" cy="2685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7"/>
                              <w:spacing w:before="0" w:after="200"/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Пациент, с подозрением на кисту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Надпись 49" fillcolor="white" stroked="t" style="position:absolute;margin-left:89.75pt;margin-top:21.35pt;width:215.35pt;height:21.1pt;v-text-anchor:top" wp14:anchorId="5F688D5B">
                <w10:wrap type="none"/>
                <v:fill o:detectmouseclick="t" type="solid" color2="black"/>
                <v:stroke color="black" weight="6480" joinstyle="round" endcap="flat"/>
                <v:textbox>
                  <w:txbxContent>
                    <w:p>
                      <w:pPr>
                        <w:pStyle w:val="Style17"/>
                        <w:spacing w:before="0" w:after="200"/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Пациент, с подозрением на кисту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sz w:val="28"/>
          <w:szCs w:val="28"/>
        </w:rPr>
        <w:t>Приложение Б. Алгоритмы действий врача</w:t>
      </w:r>
    </w:p>
    <w:p>
      <w:pPr>
        <w:pStyle w:val="Normal"/>
        <w:keepLines/>
        <w:rPr>
          <w:rFonts w:eastAsia="Times New Roman"/>
        </w:rPr>
      </w:pPr>
      <w:r>
        <w:rPr>
          <w:rFonts w:eastAsia="Times New Roman"/>
        </w:rPr>
        <mc:AlternateContent>
          <mc:Choice Requires="wps">
            <w:drawing>
              <wp:anchor behindDoc="0" distT="0" distB="0" distL="0" distR="0" simplePos="0" locked="0" layoutInCell="0" allowOverlap="1" relativeHeight="4" wp14:anchorId="0683FD40">
                <wp:simplePos x="0" y="0"/>
                <wp:positionH relativeFrom="column">
                  <wp:posOffset>2530475</wp:posOffset>
                </wp:positionH>
                <wp:positionV relativeFrom="paragraph">
                  <wp:posOffset>288290</wp:posOffset>
                </wp:positionV>
                <wp:extent cx="3175" cy="269240"/>
                <wp:effectExtent l="76200" t="0" r="57150" b="57150"/>
                <wp:wrapNone/>
                <wp:docPr id="3" name="Прямая со стрелкой 5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0" cy="26856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21600"/>
                              </a:lnTo>
                            </a:path>
                          </a:pathLst>
                        </a:custGeom>
                        <a:noFill/>
                        <a:ln>
                          <a:solidFill>
                            <a:schemeClr val="tx1"/>
                          </a:solidFill>
                          <a:round/>
                          <a:tailEnd len="med" type="triangle" w="med"/>
                        </a:ln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Normal"/>
        <w:rPr/>
      </w:pPr>
      <w:r>
        <w:rPr/>
        <mc:AlternateContent>
          <mc:Choice Requires="wps">
            <w:drawing>
              <wp:anchor behindDoc="0" distT="0" distB="0" distL="0" distR="0" simplePos="0" locked="0" layoutInCell="0" allowOverlap="1" relativeHeight="3" wp14:anchorId="1218AA39">
                <wp:simplePos x="0" y="0"/>
                <wp:positionH relativeFrom="column">
                  <wp:posOffset>1282700</wp:posOffset>
                </wp:positionH>
                <wp:positionV relativeFrom="paragraph">
                  <wp:posOffset>300355</wp:posOffset>
                </wp:positionV>
                <wp:extent cx="2488565" cy="250190"/>
                <wp:effectExtent l="0" t="0" r="28575" b="19050"/>
                <wp:wrapNone/>
                <wp:docPr id="4" name="Прямоугольник 5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87960" cy="2494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  <a:round/>
                        </a:ln>
                        <a:effectLst>
                          <a:outerShdw blurRad="40000" dir="5400000" dist="2304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7"/>
                              <w:spacing w:before="0" w:after="200"/>
                              <w:jc w:val="center"/>
                              <w:rPr>
                                <w:color w:val="000000" w:themeColor="text1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Диагностика</w:t>
                            </w:r>
                          </w:p>
                        </w:txbxContent>
                      </wps:txbx>
                      <wps:bodyPr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Прямоугольник 51" fillcolor="white" stroked="t" style="position:absolute;margin-left:101pt;margin-top:23.65pt;width:195.85pt;height:19.6pt;v-text-anchor:middle" wp14:anchorId="1218AA39">
                <w10:wrap type="none"/>
                <v:fill o:detectmouseclick="t" type="solid" color2="black"/>
                <v:stroke color="black" weight="9360" joinstyle="round" endcap="flat"/>
                <v:shadow on="t" obscured="f" color="black"/>
                <v:textbox>
                  <w:txbxContent>
                    <w:p>
                      <w:pPr>
                        <w:pStyle w:val="Style17"/>
                        <w:spacing w:before="0" w:after="200"/>
                        <w:jc w:val="center"/>
                        <w:rPr>
                          <w:color w:val="000000" w:themeColor="text1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000000" w:themeColor="text1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Диагностика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pStyle w:val="Normal"/>
        <w:rPr/>
      </w:pPr>
      <w:r>
        <w:rPr/>
        <mc:AlternateContent>
          <mc:Choice Requires="wps">
            <w:drawing>
              <wp:anchor behindDoc="0" distT="0" distB="0" distL="0" distR="0" simplePos="0" locked="0" layoutInCell="0" allowOverlap="1" relativeHeight="31" wp14:anchorId="5969020C">
                <wp:simplePos x="0" y="0"/>
                <wp:positionH relativeFrom="column">
                  <wp:posOffset>1133475</wp:posOffset>
                </wp:positionH>
                <wp:positionV relativeFrom="paragraph">
                  <wp:posOffset>86995</wp:posOffset>
                </wp:positionV>
                <wp:extent cx="2345690" cy="7165340"/>
                <wp:effectExtent l="1562100" t="76200" r="19050" b="19050"/>
                <wp:wrapNone/>
                <wp:docPr id="6" name="Соединительная линия уступом 2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 flipV="1">
                          <a:off x="0" y="0"/>
                          <a:ext cx="2345040" cy="7164720"/>
                        </a:xfrm>
                        <a:prstGeom prst="bentConnector3">
                          <a:avLst>
                            <a:gd name="adj1" fmla="val 166279"/>
                          </a:avLst>
                        </a:prstGeom>
                        <a:noFill/>
                        <a:ln>
                          <a:solidFill>
                            <a:schemeClr val="tx1"/>
                          </a:solidFill>
                          <a:round/>
                          <a:tailEnd len="med" type="triangle" w="med"/>
                        </a:ln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shapetype_34" coordsize="21600,21600" o:spt="34" adj="10800" path="m,l@0,l@0,21600l21600,21600nfe">
                <v:stroke joinstyle="miter"/>
                <v:formulas>
                  <v:f eqn="val #0"/>
                </v:formulas>
                <v:path gradientshapeok="t" o:connecttype="rect" textboxrect="0,0,21600,21600"/>
                <v:handles>
                  <v:h position="@0,10800"/>
                </v:handles>
              </v:shapetype>
              <v:shape id="shape_0" ID="Соединительная линия уступом 27" stroked="t" style="position:absolute;margin-left:89.25pt;margin-top:6.85pt;width:184.6pt;height:564.1pt;flip:xy;v-text-anchor:middle" wp14:anchorId="5969020C" type="shapetype_34">
                <w10:wrap type="none"/>
                <v:fill o:detectmouseclick="t" on="false"/>
                <v:stroke color="black" weight="9360" endarrow="block" endarrowwidth="medium" endarrowlength="medium" joinstyle="round" endcap="flat"/>
              </v:shape>
            </w:pict>
          </mc:Fallback>
        </mc:AlternateContent>
      </w:r>
    </w:p>
    <w:p>
      <w:pPr>
        <w:pStyle w:val="Normal"/>
        <w:rPr/>
      </w:pPr>
      <w:r>
        <w:rPr/>
        <mc:AlternateContent>
          <mc:Choice Requires="wps">
            <w:drawing>
              <wp:anchor behindDoc="0" distT="0" distB="0" distL="0" distR="0" simplePos="0" locked="0" layoutInCell="0" allowOverlap="1" relativeHeight="2" wp14:anchorId="44CAED5A">
                <wp:simplePos x="0" y="0"/>
                <wp:positionH relativeFrom="column">
                  <wp:posOffset>758825</wp:posOffset>
                </wp:positionH>
                <wp:positionV relativeFrom="paragraph">
                  <wp:posOffset>210185</wp:posOffset>
                </wp:positionV>
                <wp:extent cx="1069340" cy="259715"/>
                <wp:effectExtent l="0" t="0" r="19050" b="28575"/>
                <wp:wrapNone/>
                <wp:docPr id="7" name="Прямоугольник 50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8840" cy="2592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  <a:round/>
                        </a:ln>
                        <a:effectLst>
                          <a:outerShdw blurRad="40000" dir="5400000" dist="2304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7"/>
                              <w:spacing w:before="0" w:after="200"/>
                              <w:jc w:val="center"/>
                              <w:rPr>
                                <w:color w:val="000000" w:themeColor="text1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Осмотр</w:t>
                            </w:r>
                          </w:p>
                        </w:txbxContent>
                      </wps:txbx>
                      <wps:bodyPr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Прямоугольник 50" fillcolor="white" stroked="t" style="position:absolute;margin-left:59.75pt;margin-top:16.55pt;width:84.1pt;height:20.35pt;v-text-anchor:middle" wp14:anchorId="44CAED5A">
                <w10:wrap type="none"/>
                <v:fill o:detectmouseclick="t" type="solid" color2="black"/>
                <v:stroke color="black" weight="9360" joinstyle="round" endcap="flat"/>
                <v:shadow on="t" obscured="f" color="black"/>
                <v:textbox>
                  <w:txbxContent>
                    <w:p>
                      <w:pPr>
                        <w:pStyle w:val="Style17"/>
                        <w:spacing w:before="0" w:after="200"/>
                        <w:jc w:val="center"/>
                        <w:rPr>
                          <w:color w:val="000000" w:themeColor="text1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000000" w:themeColor="text1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Осмотр</w:t>
                      </w:r>
                    </w:p>
                  </w:txbxContent>
                </v:textbox>
              </v:rect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0" allowOverlap="1" relativeHeight="5" wp14:anchorId="04CF006B">
                <wp:simplePos x="0" y="0"/>
                <wp:positionH relativeFrom="column">
                  <wp:posOffset>1472565</wp:posOffset>
                </wp:positionH>
                <wp:positionV relativeFrom="paragraph">
                  <wp:posOffset>10160</wp:posOffset>
                </wp:positionV>
                <wp:extent cx="335915" cy="154940"/>
                <wp:effectExtent l="38100" t="0" r="28575" b="57150"/>
                <wp:wrapNone/>
                <wp:docPr id="9" name="Прямая со стрелкой 5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335160" cy="15444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21600"/>
                              </a:lnTo>
                            </a:path>
                          </a:pathLst>
                        </a:custGeom>
                        <a:noFill/>
                        <a:ln w="3175">
                          <a:round/>
                          <a:tailEnd len="med" type="triangle" w="med"/>
                        </a:ln>
                        <a:effectLst>
                          <a:outerShdw blurRad="40000" dir="5400000" dist="2016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  <mc:AlternateContent>
          <mc:Choice Requires="wps">
            <w:drawing>
              <wp:anchor behindDoc="0" distT="0" distB="0" distL="0" distR="0" simplePos="0" locked="0" layoutInCell="0" allowOverlap="1" relativeHeight="6" wp14:anchorId="51F69422">
                <wp:simplePos x="0" y="0"/>
                <wp:positionH relativeFrom="column">
                  <wp:posOffset>3025775</wp:posOffset>
                </wp:positionH>
                <wp:positionV relativeFrom="paragraph">
                  <wp:posOffset>10160</wp:posOffset>
                </wp:positionV>
                <wp:extent cx="354965" cy="154940"/>
                <wp:effectExtent l="0" t="0" r="66675" b="57150"/>
                <wp:wrapNone/>
                <wp:docPr id="10" name="Прямая со стрелкой 5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4240" cy="15444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21600"/>
                              </a:lnTo>
                            </a:path>
                          </a:pathLst>
                        </a:custGeom>
                        <a:noFill/>
                        <a:ln>
                          <a:solidFill>
                            <a:schemeClr val="tx1"/>
                          </a:solidFill>
                          <a:round/>
                          <a:tailEnd len="med" type="triangle" w="med"/>
                        </a:ln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  <mc:AlternateContent>
          <mc:Choice Requires="wps">
            <w:drawing>
              <wp:anchor behindDoc="0" distT="0" distB="0" distL="0" distR="0" simplePos="0" locked="0" layoutInCell="0" allowOverlap="1" relativeHeight="7" wp14:anchorId="56391C34">
                <wp:simplePos x="0" y="0"/>
                <wp:positionH relativeFrom="column">
                  <wp:posOffset>2873375</wp:posOffset>
                </wp:positionH>
                <wp:positionV relativeFrom="paragraph">
                  <wp:posOffset>210185</wp:posOffset>
                </wp:positionV>
                <wp:extent cx="1250315" cy="269240"/>
                <wp:effectExtent l="0" t="0" r="28575" b="19050"/>
                <wp:wrapNone/>
                <wp:docPr id="11" name="Прямоугольник 60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49560" cy="268560"/>
                        </a:xfrm>
                        <a:prstGeom prst="rect">
                          <a:avLst/>
                        </a:prstGeom>
                        <a:ln w="3175">
                          <a:rou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7"/>
                              <w:spacing w:before="0" w:after="200"/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Опрос</w:t>
                            </w:r>
                          </w:p>
                        </w:txbxContent>
                      </wps:txbx>
                      <wps:bodyPr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Прямоугольник 60" fillcolor="white" stroked="t" style="position:absolute;margin-left:226.25pt;margin-top:16.55pt;width:98.35pt;height:21.1pt;v-text-anchor:middle" wp14:anchorId="56391C34">
                <w10:wrap type="none"/>
                <v:fill o:detectmouseclick="t" type="solid" color2="black"/>
                <v:stroke color="black" weight="3240" joinstyle="round" endcap="flat"/>
                <v:textbox>
                  <w:txbxContent>
                    <w:p>
                      <w:pPr>
                        <w:pStyle w:val="Style17"/>
                        <w:spacing w:before="0" w:after="200"/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Опрос</w:t>
                      </w:r>
                    </w:p>
                  </w:txbxContent>
                </v:textbox>
              </v:rect>
            </w:pict>
          </mc:Fallback>
        </mc:AlternateContent>
      </w:r>
      <w:bookmarkStart w:id="72" w:name="_1ce8218lh4f8"/>
      <w:bookmarkStart w:id="73" w:name="_1ce8218lh4f8"/>
      <w:bookmarkEnd w:id="73"/>
    </w:p>
    <w:p>
      <w:pPr>
        <w:pStyle w:val="1"/>
        <w:keepLines/>
        <w:rPr/>
      </w:pPr>
      <w:r>
        <w:rPr/>
        <mc:AlternateContent>
          <mc:Choice Requires="wps">
            <w:drawing>
              <wp:anchor behindDoc="0" distT="0" distB="0" distL="0" distR="0" simplePos="0" locked="0" layoutInCell="0" allowOverlap="1" relativeHeight="10" wp14:anchorId="0E994C71">
                <wp:simplePos x="0" y="0"/>
                <wp:positionH relativeFrom="column">
                  <wp:posOffset>1148715</wp:posOffset>
                </wp:positionH>
                <wp:positionV relativeFrom="paragraph">
                  <wp:posOffset>369570</wp:posOffset>
                </wp:positionV>
                <wp:extent cx="2540" cy="1270"/>
                <wp:effectExtent l="0" t="0" r="19050" b="19050"/>
                <wp:wrapNone/>
                <wp:docPr id="13" name="Прямая соединительная линия 6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2520" cy="0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tx1"/>
                          </a:solidFill>
                          <a:round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90.45pt,29.1pt" to="90.6pt,29.1pt" ID="Прямая соединительная линия 64" stroked="t" style="position:absolute;flip:x" wp14:anchorId="0E994C71">
                <v:stroke color="black" weight="3240" joinstyle="round" endcap="flat"/>
                <v:fill o:detectmouseclick="t" on="false"/>
                <v:shadow on="t" obscured="f" color="black"/>
              </v:line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0" allowOverlap="1" relativeHeight="11" wp14:anchorId="6CF02122">
                <wp:simplePos x="0" y="0"/>
                <wp:positionH relativeFrom="column">
                  <wp:posOffset>3387090</wp:posOffset>
                </wp:positionH>
                <wp:positionV relativeFrom="paragraph">
                  <wp:posOffset>369570</wp:posOffset>
                </wp:positionV>
                <wp:extent cx="2540" cy="635"/>
                <wp:effectExtent l="0" t="0" r="19050" b="19050"/>
                <wp:wrapNone/>
                <wp:docPr id="14" name="Прямая соединительная линия 6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800" cy="0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tx1"/>
                          </a:solidFill>
                          <a:round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66.7pt,29.1pt" to="266.8pt,29.1pt" ID="Прямая соединительная линия 67" stroked="t" style="position:absolute;flip:x" wp14:anchorId="6CF02122">
                <v:stroke color="black" weight="3240" joinstyle="round" endcap="flat"/>
                <v:fill o:detectmouseclick="t" on="false"/>
                <v:shadow on="t" obscured="f" color="black"/>
              </v:line>
            </w:pict>
          </mc:Fallback>
        </mc:AlternateContent>
      </w:r>
    </w:p>
    <w:p>
      <w:pPr>
        <w:pStyle w:val="Normal"/>
        <w:rPr/>
      </w:pPr>
      <w:r>
        <w:rPr/>
        <mc:AlternateContent>
          <mc:Choice Requires="wps">
            <w:drawing>
              <wp:anchor behindDoc="0" distT="0" distB="0" distL="0" distR="0" simplePos="0" locked="0" layoutInCell="0" allowOverlap="1" relativeHeight="12" wp14:anchorId="47A071EF">
                <wp:simplePos x="0" y="0"/>
                <wp:positionH relativeFrom="column">
                  <wp:posOffset>1311275</wp:posOffset>
                </wp:positionH>
                <wp:positionV relativeFrom="paragraph">
                  <wp:posOffset>194945</wp:posOffset>
                </wp:positionV>
                <wp:extent cx="2240915" cy="1270"/>
                <wp:effectExtent l="0" t="0" r="28575" b="19050"/>
                <wp:wrapNone/>
                <wp:docPr id="15" name="Прямая соединительная линия 6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40280" cy="0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tx1"/>
                          </a:solidFill>
                          <a:round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03.25pt,15.35pt" to="279.6pt,15.35pt" ID="Прямая соединительная линия 68" stroked="t" style="position:absolute" wp14:anchorId="47A071EF">
                <v:stroke color="black" weight="3240" joinstyle="round" endcap="flat"/>
                <v:fill o:detectmouseclick="t" on="false"/>
                <v:shadow on="t" obscured="f" color="black"/>
              </v:line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0" allowOverlap="1" relativeHeight="13" wp14:anchorId="339D24E1">
                <wp:simplePos x="0" y="0"/>
                <wp:positionH relativeFrom="column">
                  <wp:posOffset>2530475</wp:posOffset>
                </wp:positionH>
                <wp:positionV relativeFrom="paragraph">
                  <wp:posOffset>237490</wp:posOffset>
                </wp:positionV>
                <wp:extent cx="3175" cy="364490"/>
                <wp:effectExtent l="76200" t="0" r="76200" b="57150"/>
                <wp:wrapNone/>
                <wp:docPr id="16" name="Прямая со стрелкой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0" cy="36396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21600"/>
                              </a:lnTo>
                            </a:path>
                          </a:pathLst>
                        </a:custGeom>
                        <a:noFill/>
                        <a:ln>
                          <a:solidFill>
                            <a:schemeClr val="tx1"/>
                          </a:solidFill>
                          <a:round/>
                          <a:tailEnd len="med" type="triangle" w="med"/>
                        </a:ln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mc:AlternateContent>
          <mc:Choice Requires="wps">
            <w:drawing>
              <wp:anchor behindDoc="0" distT="0" distB="0" distL="0" distR="0" simplePos="0" locked="0" layoutInCell="0" allowOverlap="1" relativeHeight="9" wp14:anchorId="335EF2FA">
                <wp:simplePos x="0" y="0"/>
                <wp:positionH relativeFrom="column">
                  <wp:posOffset>1539875</wp:posOffset>
                </wp:positionH>
                <wp:positionV relativeFrom="paragraph">
                  <wp:posOffset>38735</wp:posOffset>
                </wp:positionV>
                <wp:extent cx="2012315" cy="1240790"/>
                <wp:effectExtent l="0" t="0" r="28575" b="19050"/>
                <wp:wrapNone/>
                <wp:docPr id="17" name="Ромб 6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1680" cy="1240200"/>
                        </a:xfrm>
                        <a:prstGeom prst="diamond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  <a:round/>
                        </a:ln>
                        <a:effectLst>
                          <a:outerShdw blurRad="40000" dir="5400000" dist="2304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7"/>
                              <w:spacing w:before="0" w:after="200"/>
                              <w:jc w:val="center"/>
                              <w:rPr>
                                <w:color w:val="000000" w:themeColor="text1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Диагноз подтвержден?</w:t>
                            </w:r>
                          </w:p>
                        </w:txbxContent>
                      </wps:txbx>
                      <wps:bodyPr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shapetype_4" coordsize="21600,21600" o:spt="4" path="m,10800l10800,l21600,10800l10800,21600xe">
                <v:stroke joinstyle="miter"/>
                <v:formulas>
                  <v:f eqn="prod width 3 4"/>
                  <v:f eqn="prod height 3 4"/>
                </v:formulas>
                <v:path gradientshapeok="t" o:connecttype="rect" textboxrect="5400,5400,@0,@1"/>
              </v:shapetype>
              <v:shape id="shape_0" ID="Ромб 62" fillcolor="white" stroked="t" style="position:absolute;margin-left:121.25pt;margin-top:3.05pt;width:158.35pt;height:97.6pt;v-text-anchor:middle" wp14:anchorId="335EF2FA" type="shapetype_4">
                <w10:wrap type="none"/>
                <v:fill o:detectmouseclick="t" type="solid" color2="black"/>
                <v:stroke color="black" weight="9360" joinstyle="round" endcap="flat"/>
                <v:shadow on="t" obscured="f" color="black"/>
                <v:textbox>
                  <w:txbxContent>
                    <w:p>
                      <w:pPr>
                        <w:pStyle w:val="Style17"/>
                        <w:spacing w:before="0" w:after="200"/>
                        <w:jc w:val="center"/>
                        <w:rPr>
                          <w:color w:val="000000" w:themeColor="text1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000000" w:themeColor="text1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Диагноз подтвержден?</w:t>
                      </w:r>
                    </w:p>
                  </w:txbxContent>
                </v:textbox>
              </v:shape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0" allowOverlap="1" relativeHeight="16" wp14:anchorId="6D1F1E1F">
                <wp:simplePos x="0" y="0"/>
                <wp:positionH relativeFrom="column">
                  <wp:posOffset>-288925</wp:posOffset>
                </wp:positionH>
                <wp:positionV relativeFrom="paragraph">
                  <wp:posOffset>131445</wp:posOffset>
                </wp:positionV>
                <wp:extent cx="1078865" cy="802640"/>
                <wp:effectExtent l="0" t="0" r="28575" b="19050"/>
                <wp:wrapNone/>
                <wp:docPr id="19" name="Надпись 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8200" cy="8020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7"/>
                              <w:spacing w:before="0" w:after="200"/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Поиск других причин или снятие диагноза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Надпись 6" fillcolor="white" stroked="t" style="position:absolute;margin-left:-22.75pt;margin-top:10.35pt;width:84.85pt;height:63.1pt;v-text-anchor:top" wp14:anchorId="6D1F1E1F">
                <w10:wrap type="none"/>
                <v:fill o:detectmouseclick="t" type="solid" color2="black"/>
                <v:stroke color="black" weight="6480" joinstyle="round" endcap="flat"/>
                <v:textbox>
                  <w:txbxContent>
                    <w:p>
                      <w:pPr>
                        <w:pStyle w:val="Style17"/>
                        <w:spacing w:before="0" w:after="200"/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Поиск других причин или снятие диагноза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pStyle w:val="Normal"/>
        <w:tabs>
          <w:tab w:val="clear" w:pos="709"/>
          <w:tab w:val="left" w:pos="2220" w:leader="none"/>
          <w:tab w:val="left" w:pos="6390" w:leader="none"/>
        </w:tabs>
        <w:rPr/>
      </w:pPr>
      <w:r>
        <mc:AlternateContent>
          <mc:Choice Requires="wps">
            <w:drawing>
              <wp:anchor behindDoc="0" distT="0" distB="0" distL="0" distR="0" simplePos="0" locked="0" layoutInCell="0" allowOverlap="1" relativeHeight="8" wp14:anchorId="1452CBBE">
                <wp:simplePos x="0" y="0"/>
                <wp:positionH relativeFrom="column">
                  <wp:posOffset>4248150</wp:posOffset>
                </wp:positionH>
                <wp:positionV relativeFrom="paragraph">
                  <wp:posOffset>145415</wp:posOffset>
                </wp:positionV>
                <wp:extent cx="1069340" cy="326390"/>
                <wp:effectExtent l="0" t="0" r="19050" b="19050"/>
                <wp:wrapNone/>
                <wp:docPr id="21" name="Прямоугольник 6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8840" cy="3258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  <a:round/>
                        </a:ln>
                        <a:effectLst>
                          <a:outerShdw blurRad="40000" dir="5400000" dist="2304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7"/>
                              <w:spacing w:before="0" w:after="200"/>
                              <w:jc w:val="center"/>
                              <w:rPr>
                                <w:color w:val="000000" w:themeColor="text1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Лечение</w:t>
                            </w:r>
                          </w:p>
                        </w:txbxContent>
                      </wps:txbx>
                      <wps:bodyPr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Прямоугольник 61" fillcolor="white" stroked="t" style="position:absolute;margin-left:334.5pt;margin-top:11.45pt;width:84.1pt;height:25.6pt;v-text-anchor:middle" wp14:anchorId="1452CBBE">
                <w10:wrap type="none"/>
                <v:fill o:detectmouseclick="t" type="solid" color2="black"/>
                <v:stroke color="black" weight="9360" joinstyle="round" endcap="flat"/>
                <v:shadow on="t" obscured="f" color="black"/>
                <v:textbox>
                  <w:txbxContent>
                    <w:p>
                      <w:pPr>
                        <w:pStyle w:val="Style17"/>
                        <w:spacing w:before="0" w:after="200"/>
                        <w:jc w:val="center"/>
                        <w:rPr>
                          <w:color w:val="000000" w:themeColor="text1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000000" w:themeColor="text1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Лечение</w:t>
                      </w:r>
                    </w:p>
                  </w:txbxContent>
                </v:textbox>
              </v:rect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0" allowOverlap="1" relativeHeight="19" wp14:anchorId="2293DB9C">
                <wp:simplePos x="0" y="0"/>
                <wp:positionH relativeFrom="column">
                  <wp:posOffset>4864100</wp:posOffset>
                </wp:positionH>
                <wp:positionV relativeFrom="paragraph">
                  <wp:posOffset>3044190</wp:posOffset>
                </wp:positionV>
                <wp:extent cx="1269365" cy="440690"/>
                <wp:effectExtent l="0" t="0" r="28575" b="19050"/>
                <wp:wrapNone/>
                <wp:docPr id="23" name="Надпись 1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8640" cy="4399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7"/>
                              <w:spacing w:before="0" w:after="200"/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Консервативное лечение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Надпись 14" fillcolor="white" stroked="t" style="position:absolute;margin-left:383pt;margin-top:239.7pt;width:99.85pt;height:34.6pt;v-text-anchor:top" wp14:anchorId="2293DB9C">
                <w10:wrap type="none"/>
                <v:fill o:detectmouseclick="t" type="solid" color2="black"/>
                <v:stroke color="black" weight="6480" joinstyle="round" endcap="flat"/>
                <v:textbox>
                  <w:txbxContent>
                    <w:p>
                      <w:pPr>
                        <w:pStyle w:val="Style17"/>
                        <w:spacing w:before="0" w:after="200"/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Консервативное лечение</w:t>
                      </w:r>
                    </w:p>
                  </w:txbxContent>
                </v:textbox>
              </v:rect>
            </w:pict>
          </mc:Fallback>
        </mc:AlternateContent>
      </w:r>
      <w:r>
        <w:rPr/>
        <w:t xml:space="preserve">                              </w:t>
      </w:r>
      <w:r>
        <w:rPr/>
        <w:t>Нет</w:t>
        <w:tab/>
        <w:t xml:space="preserve">                                                                  Да</w:t>
      </w:r>
    </w:p>
    <w:p>
      <w:pPr>
        <w:pStyle w:val="Normal"/>
        <w:rPr/>
      </w:pPr>
      <w:r>
        <w:rPr/>
        <mc:AlternateContent>
          <mc:Choice Requires="wps">
            <w:drawing>
              <wp:anchor behindDoc="0" distT="0" distB="0" distL="0" distR="0" simplePos="0" locked="0" layoutInCell="0" allowOverlap="1" relativeHeight="14" wp14:anchorId="613CC0C2">
                <wp:simplePos x="0" y="0"/>
                <wp:positionH relativeFrom="column">
                  <wp:posOffset>3616325</wp:posOffset>
                </wp:positionH>
                <wp:positionV relativeFrom="paragraph">
                  <wp:posOffset>22225</wp:posOffset>
                </wp:positionV>
                <wp:extent cx="545465" cy="3175"/>
                <wp:effectExtent l="0" t="76200" r="9525" b="95250"/>
                <wp:wrapNone/>
                <wp:docPr id="25" name="Прямая со стрелкой 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4680" cy="252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21600"/>
                              </a:lnTo>
                            </a:path>
                          </a:pathLst>
                        </a:custGeom>
                        <a:noFill/>
                        <a:ln>
                          <a:solidFill>
                            <a:schemeClr val="tx1"/>
                          </a:solidFill>
                          <a:round/>
                          <a:tailEnd len="med" type="triangle" w="med"/>
                        </a:ln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  <mc:AlternateContent>
          <mc:Choice Requires="wps">
            <w:drawing>
              <wp:anchor behindDoc="0" distT="0" distB="0" distL="0" distR="0" simplePos="0" locked="0" layoutInCell="0" allowOverlap="1" relativeHeight="15" wp14:anchorId="7C07D9C6">
                <wp:simplePos x="0" y="0"/>
                <wp:positionH relativeFrom="column">
                  <wp:posOffset>899795</wp:posOffset>
                </wp:positionH>
                <wp:positionV relativeFrom="paragraph">
                  <wp:posOffset>22225</wp:posOffset>
                </wp:positionV>
                <wp:extent cx="574040" cy="3175"/>
                <wp:effectExtent l="38100" t="76200" r="0" b="95250"/>
                <wp:wrapNone/>
                <wp:docPr id="26" name="Прямая со стрелкой 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573480" cy="252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21600"/>
                              </a:lnTo>
                            </a:path>
                          </a:pathLst>
                        </a:custGeom>
                        <a:noFill/>
                        <a:ln>
                          <a:solidFill>
                            <a:schemeClr val="tx1"/>
                          </a:solidFill>
                          <a:round/>
                          <a:tailEnd len="med" type="triangle" w="med"/>
                        </a:ln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  <mc:AlternateContent>
          <mc:Choice Requires="wps">
            <w:drawing>
              <wp:anchor behindDoc="0" distT="0" distB="0" distL="0" distR="0" simplePos="0" locked="0" layoutInCell="0" allowOverlap="1" relativeHeight="17" wp14:anchorId="087DFCDD">
                <wp:simplePos x="0" y="0"/>
                <wp:positionH relativeFrom="column">
                  <wp:posOffset>4683125</wp:posOffset>
                </wp:positionH>
                <wp:positionV relativeFrom="paragraph">
                  <wp:posOffset>175895</wp:posOffset>
                </wp:positionV>
                <wp:extent cx="3175" cy="478790"/>
                <wp:effectExtent l="76200" t="0" r="57150" b="57150"/>
                <wp:wrapNone/>
                <wp:docPr id="27" name="Прямая со стрелкой 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0" cy="47808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21600"/>
                              </a:lnTo>
                            </a:path>
                          </a:pathLst>
                        </a:custGeom>
                        <a:noFill/>
                        <a:ln>
                          <a:solidFill>
                            <a:schemeClr val="tx1"/>
                          </a:solidFill>
                          <a:round/>
                          <a:tailEnd len="med" type="triangle" w="med"/>
                        </a:ln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Normal"/>
        <w:rPr/>
      </w:pPr>
      <w:r>
        <w:rPr/>
        <mc:AlternateContent>
          <mc:Choice Requires="wps">
            <w:drawing>
              <wp:anchor behindDoc="0" distT="0" distB="0" distL="0" distR="0" simplePos="0" locked="0" layoutInCell="0" allowOverlap="1" relativeHeight="32" wp14:anchorId="26E7F8EA">
                <wp:simplePos x="0" y="0"/>
                <wp:positionH relativeFrom="column">
                  <wp:posOffset>152400</wp:posOffset>
                </wp:positionH>
                <wp:positionV relativeFrom="paragraph">
                  <wp:posOffset>43815</wp:posOffset>
                </wp:positionV>
                <wp:extent cx="669290" cy="3441065"/>
                <wp:effectExtent l="76200" t="38100" r="19050" b="28575"/>
                <wp:wrapNone/>
                <wp:docPr id="28" name="Соединительная линия уступом 2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 flipV="1">
                          <a:off x="0" y="0"/>
                          <a:ext cx="668520" cy="3440520"/>
                        </a:xfrm>
                        <a:prstGeom prst="bentConnector3">
                          <a:avLst>
                            <a:gd name="adj1" fmla="val 100000"/>
                          </a:avLst>
                        </a:prstGeom>
                        <a:noFill/>
                        <a:ln>
                          <a:solidFill>
                            <a:schemeClr val="tx1"/>
                          </a:solidFill>
                          <a:round/>
                          <a:tailEnd len="med" type="triangle" w="med"/>
                        </a:ln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hape_0" ID="Соединительная линия уступом 28" stroked="t" style="position:absolute;margin-left:12pt;margin-top:3.45pt;width:52.6pt;height:270.85pt;flip:xy;v-text-anchor:middle" wp14:anchorId="26E7F8EA" type="shapetype_34">
                <w10:wrap type="none"/>
                <v:fill o:detectmouseclick="t" on="false"/>
                <v:stroke color="black" weight="9360" endarrow="block" endarrowwidth="medium" endarrowlength="medium" joinstyle="round" endcap="flat"/>
              </v:shape>
            </w:pict>
          </mc:Fallback>
        </mc:AlternateContent>
      </w:r>
    </w:p>
    <w:p>
      <w:pPr>
        <w:pStyle w:val="Normal"/>
        <w:rPr/>
      </w:pPr>
      <w:r>
        <w:rPr/>
        <mc:AlternateContent>
          <mc:Choice Requires="wps">
            <w:drawing>
              <wp:anchor behindDoc="0" distT="0" distB="0" distL="0" distR="0" simplePos="0" locked="0" layoutInCell="0" allowOverlap="1" relativeHeight="18" wp14:anchorId="6DFB56F8">
                <wp:simplePos x="0" y="0"/>
                <wp:positionH relativeFrom="column">
                  <wp:posOffset>3663950</wp:posOffset>
                </wp:positionH>
                <wp:positionV relativeFrom="paragraph">
                  <wp:posOffset>115570</wp:posOffset>
                </wp:positionV>
                <wp:extent cx="2021840" cy="1583690"/>
                <wp:effectExtent l="0" t="0" r="19050" b="19050"/>
                <wp:wrapNone/>
                <wp:docPr id="29" name="Ромб 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21040" cy="1582920"/>
                        </a:xfrm>
                        <a:prstGeom prst="diamond">
                          <a:avLst/>
                        </a:prstGeom>
                        <a:ln w="3175">
                          <a:rou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7"/>
                              <w:spacing w:before="0" w:after="200"/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Есть ли показания к хирургическому лечению?</w:t>
                            </w:r>
                          </w:p>
                        </w:txbxContent>
                      </wps:txbx>
                      <wps:bodyPr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_0" ID="Ромб 9" fillcolor="white" stroked="t" style="position:absolute;margin-left:288.5pt;margin-top:9.1pt;width:159.1pt;height:124.6pt;v-text-anchor:middle" wp14:anchorId="6DFB56F8" type="shapetype_4">
                <w10:wrap type="none"/>
                <v:fill o:detectmouseclick="t" type="solid" color2="black"/>
                <v:stroke color="black" weight="3240" joinstyle="round" endcap="flat"/>
                <v:textbox>
                  <w:txbxContent>
                    <w:p>
                      <w:pPr>
                        <w:pStyle w:val="Style17"/>
                        <w:spacing w:before="0" w:after="200"/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Есть ли показания к хирургическому лечению?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"/>
        <w:rPr/>
      </w:pPr>
      <w:r>
        <w:rPr/>
        <mc:AlternateContent>
          <mc:Choice Requires="wps">
            <w:drawing>
              <wp:anchor behindDoc="0" distT="0" distB="0" distL="0" distR="0" simplePos="0" locked="0" layoutInCell="0" allowOverlap="1" relativeHeight="21" wp14:anchorId="7DB327C6">
                <wp:simplePos x="0" y="0"/>
                <wp:positionH relativeFrom="column">
                  <wp:posOffset>1577975</wp:posOffset>
                </wp:positionH>
                <wp:positionV relativeFrom="paragraph">
                  <wp:posOffset>225425</wp:posOffset>
                </wp:positionV>
                <wp:extent cx="1345565" cy="659765"/>
                <wp:effectExtent l="0" t="0" r="28575" b="28575"/>
                <wp:wrapNone/>
                <wp:docPr id="31" name="Надпись 1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44960" cy="6591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7"/>
                              <w:spacing w:before="0" w:after="200"/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Проведение хирургического вмешательства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Надпись 16" fillcolor="white" stroked="t" style="position:absolute;margin-left:124.25pt;margin-top:17.75pt;width:105.85pt;height:51.85pt;v-text-anchor:top" wp14:anchorId="7DB327C6">
                <w10:wrap type="none"/>
                <v:fill o:detectmouseclick="t" type="solid" color2="black"/>
                <v:stroke color="black" weight="6480" joinstyle="round" endcap="flat"/>
                <v:textbox>
                  <w:txbxContent>
                    <w:p>
                      <w:pPr>
                        <w:pStyle w:val="Style17"/>
                        <w:spacing w:before="0" w:after="200"/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Проведение хирургического вмешательства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pStyle w:val="Normal"/>
        <w:jc w:val="center"/>
        <w:rPr/>
      </w:pPr>
      <w:r>
        <mc:AlternateContent>
          <mc:Choice Requires="wps">
            <w:drawing>
              <wp:anchor behindDoc="0" distT="0" distB="0" distL="0" distR="0" simplePos="0" locked="0" layoutInCell="0" allowOverlap="1" relativeHeight="20" wp14:anchorId="2D252ED7">
                <wp:simplePos x="0" y="0"/>
                <wp:positionH relativeFrom="column">
                  <wp:posOffset>2995295</wp:posOffset>
                </wp:positionH>
                <wp:positionV relativeFrom="paragraph">
                  <wp:posOffset>247015</wp:posOffset>
                </wp:positionV>
                <wp:extent cx="554990" cy="3175"/>
                <wp:effectExtent l="38100" t="76200" r="0" b="95250"/>
                <wp:wrapNone/>
                <wp:docPr id="33" name="Прямая со стрелкой 1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554400" cy="252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21600"/>
                              </a:lnTo>
                            </a:path>
                          </a:pathLst>
                        </a:custGeom>
                        <a:noFill/>
                        <a:ln>
                          <a:solidFill>
                            <a:schemeClr val="tx1"/>
                          </a:solidFill>
                          <a:round/>
                          <a:tailEnd len="med" type="triangle" w="med"/>
                        </a:ln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  <mc:AlternateContent>
          <mc:Choice Requires="wps">
            <w:drawing>
              <wp:anchor behindDoc="0" distT="0" distB="0" distL="0" distR="0" simplePos="0" locked="0" layoutInCell="0" allowOverlap="1" relativeHeight="23" wp14:anchorId="5DE5C185">
                <wp:simplePos x="0" y="0"/>
                <wp:positionH relativeFrom="column">
                  <wp:posOffset>2206625</wp:posOffset>
                </wp:positionH>
                <wp:positionV relativeFrom="paragraph">
                  <wp:posOffset>1485265</wp:posOffset>
                </wp:positionV>
                <wp:extent cx="3175" cy="335915"/>
                <wp:effectExtent l="76200" t="0" r="76200" b="47625"/>
                <wp:wrapNone/>
                <wp:docPr id="34" name="Прямая со стрелкой 1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0" cy="33516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21600"/>
                              </a:lnTo>
                            </a:path>
                          </a:pathLst>
                        </a:custGeom>
                        <a:noFill/>
                        <a:ln>
                          <a:solidFill>
                            <a:schemeClr val="tx1"/>
                          </a:solidFill>
                          <a:round/>
                          <a:tailEnd len="med" type="triangle" w="med"/>
                        </a:ln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  <mc:AlternateContent>
          <mc:Choice Requires="wps">
            <w:drawing>
              <wp:anchor behindDoc="0" distT="0" distB="0" distL="0" distR="0" simplePos="0" locked="0" layoutInCell="0" allowOverlap="1" relativeHeight="27" wp14:anchorId="13EB1C2A">
                <wp:simplePos x="0" y="0"/>
                <wp:positionH relativeFrom="column">
                  <wp:posOffset>3997325</wp:posOffset>
                </wp:positionH>
                <wp:positionV relativeFrom="paragraph">
                  <wp:posOffset>2332990</wp:posOffset>
                </wp:positionV>
                <wp:extent cx="1355090" cy="488315"/>
                <wp:effectExtent l="0" t="0" r="19050" b="28575"/>
                <wp:wrapNone/>
                <wp:docPr id="35" name="Надпись 2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54320" cy="487800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  <a:round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7"/>
                              <w:spacing w:before="0" w:after="200"/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Диспансерное наблюдение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Надпись 23" fillcolor="white" stroked="t" style="position:absolute;margin-left:314.75pt;margin-top:183.7pt;width:106.6pt;height:38.35pt;v-text-anchor:top" wp14:anchorId="13EB1C2A">
                <w10:wrap type="none"/>
                <v:fill o:detectmouseclick="t" type="solid" color2="black"/>
                <v:stroke color="black" weight="3240" joinstyle="round" endcap="flat"/>
                <v:textbox>
                  <w:txbxContent>
                    <w:p>
                      <w:pPr>
                        <w:pStyle w:val="Style17"/>
                        <w:spacing w:before="0" w:after="200"/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Диспансерное наблюдение</w:t>
                      </w:r>
                    </w:p>
                  </w:txbxContent>
                </v:textbox>
              </v:rect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0" allowOverlap="1" relativeHeight="28" wp14:anchorId="5FFFEFA0">
                <wp:simplePos x="0" y="0"/>
                <wp:positionH relativeFrom="column">
                  <wp:posOffset>4664075</wp:posOffset>
                </wp:positionH>
                <wp:positionV relativeFrom="paragraph">
                  <wp:posOffset>2894965</wp:posOffset>
                </wp:positionV>
                <wp:extent cx="3175" cy="288290"/>
                <wp:effectExtent l="76200" t="0" r="57150" b="57150"/>
                <wp:wrapNone/>
                <wp:docPr id="37" name="Прямая со стрелкой 2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0" cy="28764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21600"/>
                              </a:lnTo>
                            </a:path>
                          </a:pathLst>
                        </a:custGeom>
                        <a:noFill/>
                        <a:ln>
                          <a:solidFill>
                            <a:schemeClr val="tx1"/>
                          </a:solidFill>
                          <a:round/>
                          <a:tailEnd len="med" type="triangle" w="med"/>
                        </a:ln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  <mc:AlternateContent>
          <mc:Choice Requires="wps">
            <w:drawing>
              <wp:anchor behindDoc="0" distT="0" distB="0" distL="0" distR="0" simplePos="0" locked="0" layoutInCell="0" allowOverlap="1" relativeHeight="30" wp14:anchorId="2F184534">
                <wp:simplePos x="0" y="0"/>
                <wp:positionH relativeFrom="column">
                  <wp:posOffset>5343525</wp:posOffset>
                </wp:positionH>
                <wp:positionV relativeFrom="paragraph">
                  <wp:posOffset>2546985</wp:posOffset>
                </wp:positionV>
                <wp:extent cx="383540" cy="1326515"/>
                <wp:effectExtent l="38100" t="76200" r="381000" b="28575"/>
                <wp:wrapNone/>
                <wp:docPr id="38" name="Соединительная линия уступом 2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 flipV="1">
                          <a:off x="0" y="0"/>
                          <a:ext cx="383040" cy="1325880"/>
                        </a:xfrm>
                        <a:prstGeom prst="bentConnector3">
                          <a:avLst>
                            <a:gd name="adj1" fmla="val -92500"/>
                          </a:avLst>
                        </a:prstGeom>
                        <a:noFill/>
                        <a:ln>
                          <a:solidFill>
                            <a:schemeClr val="tx1"/>
                          </a:solidFill>
                          <a:round/>
                          <a:tailEnd len="med" type="triangle" w="med"/>
                        </a:ln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hape_0" ID="Соединительная линия уступом 26" stroked="t" style="position:absolute;margin-left:420.75pt;margin-top:200.55pt;width:30.1pt;height:104.35pt;flip:xy;v-text-anchor:middle" wp14:anchorId="2F184534" type="shapetype_34">
                <w10:wrap type="none"/>
                <v:fill o:detectmouseclick="t" on="false"/>
                <v:stroke color="black" weight="9360" endarrow="block" endarrowwidth="medium" endarrowlength="medium" joinstyle="round" endcap="flat"/>
              </v:shape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0" allowOverlap="1" relativeHeight="33" wp14:anchorId="5A224C9E">
                <wp:simplePos x="0" y="0"/>
                <wp:positionH relativeFrom="column">
                  <wp:posOffset>5788025</wp:posOffset>
                </wp:positionH>
                <wp:positionV relativeFrom="paragraph">
                  <wp:posOffset>244475</wp:posOffset>
                </wp:positionV>
                <wp:extent cx="164465" cy="1183640"/>
                <wp:effectExtent l="0" t="0" r="66675" b="57150"/>
                <wp:wrapNone/>
                <wp:docPr id="39" name="Соединительная линия уступом 2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800" cy="1182960"/>
                        </a:xfrm>
                        <a:prstGeom prst="bentConnector3">
                          <a:avLst>
                            <a:gd name="adj1" fmla="val 100000"/>
                          </a:avLst>
                        </a:prstGeom>
                        <a:noFill/>
                        <a:ln>
                          <a:solidFill>
                            <a:schemeClr val="tx1"/>
                          </a:solidFill>
                          <a:round/>
                          <a:tailEnd len="med" type="triangle" w="med"/>
                        </a:ln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hape_0" ID="Соединительная линия уступом 29" stroked="t" style="position:absolute;margin-left:455.75pt;margin-top:19.25pt;width:12.85pt;height:93.1pt;v-text-anchor:middle" wp14:anchorId="5A224C9E" type="shapetype_34">
                <w10:wrap type="none"/>
                <v:fill o:detectmouseclick="t" on="false"/>
                <v:stroke color="black" weight="9360" endarrow="block" endarrowwidth="medium" endarrowlength="medium" joinstyle="round" endcap="flat"/>
              </v:shape>
            </w:pict>
          </mc:Fallback>
        </mc:AlternateContent>
      </w:r>
      <w:r>
        <w:rPr/>
        <w:t xml:space="preserve">                                                                                          </w:t>
      </w:r>
      <w:r>
        <w:rPr/>
        <w:t>Да                                                                     Нет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mc:AlternateContent>
          <mc:Choice Requires="wps">
            <w:drawing>
              <wp:anchor behindDoc="0" distT="0" distB="0" distL="0" distR="0" simplePos="0" locked="0" layoutInCell="0" allowOverlap="1" relativeHeight="25" wp14:anchorId="60B6722C">
                <wp:simplePos x="0" y="0"/>
                <wp:positionH relativeFrom="column">
                  <wp:posOffset>2206625</wp:posOffset>
                </wp:positionH>
                <wp:positionV relativeFrom="paragraph">
                  <wp:posOffset>33020</wp:posOffset>
                </wp:positionV>
                <wp:extent cx="3175" cy="421640"/>
                <wp:effectExtent l="76200" t="0" r="57150" b="57150"/>
                <wp:wrapNone/>
                <wp:docPr id="40" name="Прямая со стрелкой 2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0" cy="42084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21600"/>
                              </a:lnTo>
                            </a:path>
                          </a:pathLst>
                        </a:custGeom>
                        <a:noFill/>
                        <a:ln>
                          <a:solidFill>
                            <a:schemeClr val="tx1"/>
                          </a:solidFill>
                          <a:round/>
                          <a:tailEnd len="med" type="triangle" w="med"/>
                        </a:ln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Normal"/>
        <w:rPr/>
      </w:pPr>
      <w:r>
        <w:rPr/>
        <mc:AlternateContent>
          <mc:Choice Requires="wps">
            <w:drawing>
              <wp:anchor behindDoc="0" distT="0" distB="0" distL="0" distR="0" simplePos="0" locked="0" layoutInCell="0" allowOverlap="1" relativeHeight="22" wp14:anchorId="06DB97C1">
                <wp:simplePos x="0" y="0"/>
                <wp:positionH relativeFrom="column">
                  <wp:posOffset>1577975</wp:posOffset>
                </wp:positionH>
                <wp:positionV relativeFrom="paragraph">
                  <wp:posOffset>226060</wp:posOffset>
                </wp:positionV>
                <wp:extent cx="1240790" cy="269240"/>
                <wp:effectExtent l="0" t="0" r="19050" b="19050"/>
                <wp:wrapNone/>
                <wp:docPr id="41" name="Надпись 1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40200" cy="2685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7"/>
                              <w:spacing w:before="0" w:after="200"/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Реабилитация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Надпись 18" fillcolor="white" stroked="t" style="position:absolute;margin-left:124.25pt;margin-top:17.8pt;width:97.6pt;height:21.1pt;v-text-anchor:top" wp14:anchorId="06DB97C1">
                <w10:wrap type="none"/>
                <v:fill o:detectmouseclick="t" type="solid" color2="black"/>
                <v:stroke color="black" weight="6480" joinstyle="round" endcap="flat"/>
                <v:textbox>
                  <w:txbxContent>
                    <w:p>
                      <w:pPr>
                        <w:pStyle w:val="Style17"/>
                        <w:spacing w:before="0" w:after="200"/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Реабилитация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mc:AlternateContent>
          <mc:Choice Requires="wps">
            <w:drawing>
              <wp:anchor behindDoc="0" distT="0" distB="0" distL="0" distR="0" simplePos="0" locked="0" layoutInCell="0" allowOverlap="1" relativeHeight="24" wp14:anchorId="516D3CC4">
                <wp:simplePos x="0" y="0"/>
                <wp:positionH relativeFrom="column">
                  <wp:posOffset>1016000</wp:posOffset>
                </wp:positionH>
                <wp:positionV relativeFrom="paragraph">
                  <wp:posOffset>316865</wp:posOffset>
                </wp:positionV>
                <wp:extent cx="2364740" cy="1259840"/>
                <wp:effectExtent l="0" t="0" r="19050" b="19050"/>
                <wp:wrapNone/>
                <wp:docPr id="43" name="Ромб 20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64120" cy="1259280"/>
                        </a:xfrm>
                        <a:prstGeom prst="diamond">
                          <a:avLst/>
                        </a:prstGeom>
                        <a:ln w="3175">
                          <a:rou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7"/>
                              <w:spacing w:before="0" w:after="200"/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Достигнут ли положительный результат?</w:t>
                            </w:r>
                          </w:p>
                        </w:txbxContent>
                      </wps:txbx>
                      <wps:bodyPr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_0" ID="Ромб 20" fillcolor="white" stroked="t" style="position:absolute;margin-left:80pt;margin-top:24.95pt;width:186.1pt;height:99.1pt;v-text-anchor:middle" wp14:anchorId="516D3CC4" type="shapetype_4">
                <w10:wrap type="none"/>
                <v:fill o:detectmouseclick="t" type="solid" color2="black"/>
                <v:stroke color="black" weight="3240" joinstyle="round" endcap="flat"/>
                <v:textbox>
                  <w:txbxContent>
                    <w:p>
                      <w:pPr>
                        <w:pStyle w:val="Style17"/>
                        <w:spacing w:before="0" w:after="200"/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Достигнут ли положительный результат?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"/>
        <w:spacing w:lineRule="auto" w:line="600" w:before="240" w:after="0"/>
        <w:rPr/>
      </w:pPr>
      <w:r>
        <w:rPr/>
      </w:r>
    </w:p>
    <w:p>
      <w:pPr>
        <w:pStyle w:val="Normal"/>
        <w:ind w:firstLine="720"/>
        <w:rPr/>
      </w:pPr>
      <w:r>
        <mc:AlternateContent>
          <mc:Choice Requires="wps">
            <w:drawing>
              <wp:anchor behindDoc="0" distT="0" distB="0" distL="0" distR="0" simplePos="0" locked="0" layoutInCell="0" allowOverlap="1" relativeHeight="26" wp14:anchorId="190A64B8">
                <wp:simplePos x="0" y="0"/>
                <wp:positionH relativeFrom="column">
                  <wp:posOffset>3482975</wp:posOffset>
                </wp:positionH>
                <wp:positionV relativeFrom="paragraph">
                  <wp:posOffset>197485</wp:posOffset>
                </wp:positionV>
                <wp:extent cx="459740" cy="3175"/>
                <wp:effectExtent l="0" t="76200" r="19050" b="95250"/>
                <wp:wrapNone/>
                <wp:docPr id="45" name="Прямая со стрелкой 2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9000" cy="252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21600"/>
                              </a:lnTo>
                            </a:path>
                          </a:pathLst>
                        </a:custGeom>
                        <a:noFill/>
                        <a:ln>
                          <a:solidFill>
                            <a:schemeClr val="tx1"/>
                          </a:solidFill>
                          <a:round/>
                          <a:tailEnd len="med" type="triangle" w="med"/>
                        </a:ln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  <w:r>
        <w:rPr/>
        <w:t>Нет                                                                                   Да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mc:AlternateContent>
          <mc:Choice Requires="wps">
            <w:drawing>
              <wp:anchor behindDoc="0" distT="0" distB="0" distL="0" distR="0" simplePos="0" locked="0" layoutInCell="0" allowOverlap="1" relativeHeight="29" wp14:anchorId="64D3052F">
                <wp:simplePos x="0" y="0"/>
                <wp:positionH relativeFrom="column">
                  <wp:posOffset>3635375</wp:posOffset>
                </wp:positionH>
                <wp:positionV relativeFrom="paragraph">
                  <wp:posOffset>12065</wp:posOffset>
                </wp:positionV>
                <wp:extent cx="2050415" cy="1193165"/>
                <wp:effectExtent l="0" t="0" r="28575" b="28575"/>
                <wp:wrapNone/>
                <wp:docPr id="46" name="Ромб 2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49840" cy="1192680"/>
                        </a:xfrm>
                        <a:prstGeom prst="diamond">
                          <a:avLst/>
                        </a:prstGeom>
                        <a:ln w="3175">
                          <a:rou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7"/>
                              <w:spacing w:before="0" w:after="200"/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Есть ли рецидив заболевания?</w:t>
                            </w:r>
                          </w:p>
                        </w:txbxContent>
                      </wps:txbx>
                      <wps:bodyPr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_0" ID="Ромб 25" fillcolor="white" stroked="t" style="position:absolute;margin-left:286.25pt;margin-top:0.95pt;width:161.35pt;height:93.85pt;v-text-anchor:middle" wp14:anchorId="64D3052F" type="shapetype_4">
                <w10:wrap type="none"/>
                <v:fill o:detectmouseclick="t" type="solid" color2="black"/>
                <v:stroke color="black" weight="3240" joinstyle="round" endcap="flat"/>
                <v:textbox>
                  <w:txbxContent>
                    <w:p>
                      <w:pPr>
                        <w:pStyle w:val="Style17"/>
                        <w:spacing w:before="0" w:after="200"/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Есть ли рецидив заболевания?</w:t>
                      </w:r>
                    </w:p>
                  </w:txbxContent>
                </v:textbox>
              </v:shape>
            </w:pict>
          </mc:Fallback>
        </mc:AlternateContent>
      </w:r>
      <w:r>
        <w:rPr/>
        <w:t xml:space="preserve">  </w:t>
      </w:r>
    </w:p>
    <w:p>
      <w:pPr>
        <w:pStyle w:val="Normal"/>
        <w:spacing w:lineRule="auto" w:line="720" w:before="240" w:after="200"/>
        <w:jc w:val="center"/>
        <w:rPr/>
      </w:pPr>
      <w:r>
        <w:rPr/>
        <w:t xml:space="preserve">                                                                                           </w:t>
      </w:r>
      <w:r>
        <w:rPr/>
        <w:t xml:space="preserve">Да                                                                 Нет </w:t>
      </w:r>
    </w:p>
    <w:p>
      <w:pPr>
        <w:pStyle w:val="1"/>
        <w:rPr/>
      </w:pPr>
      <w:r>
        <w:rPr/>
      </w:r>
    </w:p>
    <w:p>
      <w:pPr>
        <w:pStyle w:val="1"/>
        <w:rPr/>
      </w:pPr>
      <w:bookmarkStart w:id="74" w:name="__RefHeading___Toc10561_2770555280"/>
      <w:bookmarkStart w:id="75" w:name="_zinn33b4nri"/>
      <w:bookmarkEnd w:id="74"/>
      <w:bookmarkEnd w:id="75"/>
      <w:r>
        <w:rPr/>
        <w:t>Приложение В Информация для пациента</w:t>
      </w:r>
    </w:p>
    <w:p>
      <w:pPr>
        <w:pStyle w:val="Normal"/>
        <w:numPr>
          <w:ilvl w:val="0"/>
          <w:numId w:val="16"/>
        </w:numPr>
        <w:spacing w:lineRule="auto" w:line="360" w:before="0" w:after="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необходимо предупредить родителей ребенка о обязательности соблюдения рекомендаций врача и сроков обращения, а также о  необходимости срочного обращения к врачу при наличии признаков ухудшения общего состояния ребенка, симптомов появления, распространения воспалительного процесса и отсутствии положительного результата после оказанной стоматологической помощи;</w:t>
      </w:r>
    </w:p>
    <w:p>
      <w:pPr>
        <w:pStyle w:val="Normal"/>
        <w:numPr>
          <w:ilvl w:val="0"/>
          <w:numId w:val="16"/>
        </w:numPr>
        <w:spacing w:lineRule="auto" w:line="360" w:before="0" w:after="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после оказания помощи детям рекомендуется ограничение жевания, употребления жесткой пищи для снижения риска травматизации слизистой оболочки полости рта;  </w:t>
      </w:r>
    </w:p>
    <w:p>
      <w:pPr>
        <w:pStyle w:val="Normal"/>
        <w:numPr>
          <w:ilvl w:val="0"/>
          <w:numId w:val="16"/>
        </w:numPr>
        <w:spacing w:lineRule="auto" w:line="360" w:before="0" w:after="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требования к диетическим назначениям и ограничениям;</w:t>
      </w:r>
    </w:p>
    <w:p>
      <w:pPr>
        <w:pStyle w:val="Normal"/>
        <w:numPr>
          <w:ilvl w:val="0"/>
          <w:numId w:val="16"/>
        </w:numPr>
        <w:spacing w:lineRule="auto" w:line="360" w:before="0" w:after="16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в первые сутки после операции рекомендовано соблюдать охранительный режим. </w:t>
      </w:r>
    </w:p>
    <w:p>
      <w:pPr>
        <w:pStyle w:val="Normal"/>
        <w:spacing w:lineRule="auto" w:line="360" w:before="280" w:after="280"/>
        <w:ind w:left="720" w:hanging="0"/>
        <w:jc w:val="both"/>
        <w:rPr/>
      </w:pPr>
      <w:r>
        <w:rPr/>
      </w:r>
    </w:p>
    <w:sectPr>
      <w:headerReference w:type="first" r:id="rId2"/>
      <w:footerReference w:type="default" r:id="rId3"/>
      <w:footerReference w:type="first" r:id="rId4"/>
      <w:type w:val="nextPage"/>
      <w:pgSz w:w="11906" w:h="16838"/>
      <w:pgMar w:left="1700" w:right="860" w:header="708" w:top="708" w:footer="708" w:bottom="1248" w:gutter="0"/>
      <w:pgNumType w:start="1" w:fmt="decimal"/>
      <w:formProt w:val="false"/>
      <w:titlePg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Wingdings">
    <w:charset w:val="02"/>
    <w:family w:val="auto"/>
    <w:pitch w:val="variable"/>
  </w:font>
  <w:font w:name="Wingdings 2">
    <w:charset w:val="02"/>
    <w:family w:val="auto"/>
    <w:pitch w:val="default"/>
  </w:font>
  <w:font w:name="OpenSymbol">
    <w:altName w:val="Arial Unicode MS"/>
    <w:charset w:val="01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spacing w:before="0" w:after="200"/>
      <w:jc w:val="center"/>
      <w:rPr>
        <w:rFonts w:eastAsia="Times New Roman"/>
      </w:rPr>
    </w:pPr>
    <w:r>
      <w:rPr/>
      <w:fldChar w:fldCharType="begin"/>
    </w:r>
    <w:r>
      <w:rPr/>
      <w:instrText> PAGE </w:instrText>
    </w:r>
    <w:r>
      <w:rPr/>
      <w:fldChar w:fldCharType="separate"/>
    </w:r>
    <w:r>
      <w:rPr/>
      <w:t>7</w:t>
    </w:r>
    <w:r>
      <w:rPr/>
      <w:fldChar w:fldCharType="end"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spacing w:before="0" w:after="200"/>
      <w:jc w:val="cen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widowControl/>
      <w:bidi w:val="0"/>
      <w:spacing w:lineRule="auto" w:line="276" w:before="0" w:after="200"/>
      <w:jc w:val="left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1.5.%1."/>
      <w:lvlJc w:val="right"/>
      <w:pPr>
        <w:tabs>
          <w:tab w:val="num" w:pos="0"/>
        </w:tabs>
        <w:ind w:left="720" w:hanging="360"/>
      </w:pPr>
      <w:rPr>
        <w:u w:val="none"/>
      </w:rPr>
    </w:lvl>
    <w:lvl w:ilvl="1">
      <w:start w:val="1"/>
      <w:numFmt w:val="decimal"/>
      <w:lvlText w:val="%1.%2."/>
      <w:lvlJc w:val="right"/>
      <w:pPr>
        <w:tabs>
          <w:tab w:val="num" w:pos="0"/>
        </w:tabs>
        <w:ind w:left="1440" w:hanging="360"/>
      </w:pPr>
      <w:rPr>
        <w:u w:val="none"/>
      </w:rPr>
    </w:lvl>
    <w:lvl w:ilvl="2">
      <w:start w:val="1"/>
      <w:numFmt w:val="decimal"/>
      <w:lvlText w:val="%1.%2.%3."/>
      <w:lvlJc w:val="right"/>
      <w:pPr>
        <w:tabs>
          <w:tab w:val="num" w:pos="0"/>
        </w:tabs>
        <w:ind w:left="2160" w:hanging="360"/>
      </w:pPr>
      <w:rPr>
        <w:u w:val="none"/>
      </w:rPr>
    </w:lvl>
    <w:lvl w:ilvl="3">
      <w:start w:val="1"/>
      <w:numFmt w:val="decimal"/>
      <w:lvlText w:val="%1.%2.%3.%4."/>
      <w:lvlJc w:val="right"/>
      <w:pPr>
        <w:tabs>
          <w:tab w:val="num" w:pos="0"/>
        </w:tabs>
        <w:ind w:left="2880" w:hanging="360"/>
      </w:pPr>
      <w:rPr>
        <w:u w:val="none"/>
      </w:rPr>
    </w:lvl>
    <w:lvl w:ilvl="4">
      <w:start w:val="1"/>
      <w:numFmt w:val="decimal"/>
      <w:lvlText w:val="%1.%2.%3.%4.%5."/>
      <w:lvlJc w:val="right"/>
      <w:pPr>
        <w:tabs>
          <w:tab w:val="num" w:pos="0"/>
        </w:tabs>
        <w:ind w:left="3600" w:hanging="360"/>
      </w:pPr>
      <w:rPr>
        <w:u w:val="none"/>
      </w:rPr>
    </w:lvl>
    <w:lvl w:ilvl="5">
      <w:start w:val="1"/>
      <w:numFmt w:val="decimal"/>
      <w:lvlText w:val="%1.%2.%3.%4.%5.%6."/>
      <w:lvlJc w:val="right"/>
      <w:pPr>
        <w:tabs>
          <w:tab w:val="num" w:pos="0"/>
        </w:tabs>
        <w:ind w:left="4320" w:hanging="360"/>
      </w:pPr>
      <w:rPr>
        <w:u w:val="none"/>
      </w:rPr>
    </w:lvl>
    <w:lvl w:ilvl="6">
      <w:start w:val="1"/>
      <w:numFmt w:val="decimal"/>
      <w:lvlText w:val="%1.%2.%3.%4.%5.%6.%7."/>
      <w:lvlJc w:val="right"/>
      <w:pPr>
        <w:tabs>
          <w:tab w:val="num" w:pos="0"/>
        </w:tabs>
        <w:ind w:left="5040" w:hanging="360"/>
      </w:pPr>
      <w:rPr>
        <w:u w:val="none"/>
      </w:rPr>
    </w:lvl>
    <w:lvl w:ilvl="7">
      <w:start w:val="1"/>
      <w:numFmt w:val="decimal"/>
      <w:lvlText w:val="%1.%2.%3.%4.%5.%6.%7.%8."/>
      <w:lvlJc w:val="right"/>
      <w:pPr>
        <w:tabs>
          <w:tab w:val="num" w:pos="0"/>
        </w:tabs>
        <w:ind w:left="5760" w:hanging="360"/>
      </w:pPr>
      <w:rPr>
        <w:u w:val="none"/>
      </w:rPr>
    </w:lvl>
    <w:lvl w:ilvl="8">
      <w:start w:val="1"/>
      <w:numFmt w:val="decimal"/>
      <w:lvlText w:val="%1.%2.%3.%4.%5.%6.%7.%8.%9."/>
      <w:lvlJc w:val="right"/>
      <w:pPr>
        <w:tabs>
          <w:tab w:val="num" w:pos="0"/>
        </w:tabs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tabs>
          <w:tab w:val="num" w:pos="0"/>
        </w:tabs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tabs>
          <w:tab w:val="num" w:pos="0"/>
        </w:tabs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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"/>
      <w:lvlJc w:val="left"/>
      <w:pPr>
        <w:tabs>
          <w:tab w:val="num" w:pos="0"/>
        </w:tabs>
        <w:ind w:left="1440" w:hanging="360"/>
      </w:pPr>
      <w:rPr>
        <w:rFonts w:ascii="Wingdings 2" w:hAnsi="Wingdings 2" w:cs="Wingdings 2" w:hint="default"/>
      </w:rPr>
    </w:lvl>
    <w:lvl w:ilvl="2">
      <w:start w:val="1"/>
      <w:numFmt w:val="bullet"/>
      <w:lvlText w:val="■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"/>
      <w:lvlJc w:val="left"/>
      <w:pPr>
        <w:tabs>
          <w:tab w:val="num" w:pos="0"/>
        </w:tabs>
        <w:ind w:left="3600" w:hanging="360"/>
      </w:pPr>
      <w:rPr>
        <w:rFonts w:ascii="Wingdings 2" w:hAnsi="Wingdings 2" w:cs="Wingdings 2" w:hint="default"/>
      </w:rPr>
    </w:lvl>
    <w:lvl w:ilvl="5">
      <w:start w:val="1"/>
      <w:numFmt w:val="bullet"/>
      <w:lvlText w:val="■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"/>
      <w:lvlJc w:val="left"/>
      <w:pPr>
        <w:tabs>
          <w:tab w:val="num" w:pos="0"/>
        </w:tabs>
        <w:ind w:left="5760" w:hanging="360"/>
      </w:pPr>
      <w:rPr>
        <w:rFonts w:ascii="Wingdings 2" w:hAnsi="Wingdings 2" w:cs="Wingdings 2" w:hint="default"/>
      </w:rPr>
    </w:lvl>
    <w:lvl w:ilvl="8">
      <w:start w:val="1"/>
      <w:numFmt w:val="bullet"/>
      <w:lvlText w:val="■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4">
    <w:lvl w:ilvl="0">
      <w:start w:val="1"/>
      <w:numFmt w:val="bullet"/>
      <w:lvlText w:val="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"/>
      <w:lvlJc w:val="left"/>
      <w:pPr>
        <w:tabs>
          <w:tab w:val="num" w:pos="0"/>
        </w:tabs>
        <w:ind w:left="1440" w:hanging="360"/>
      </w:pPr>
      <w:rPr>
        <w:rFonts w:ascii="Wingdings 2" w:hAnsi="Wingdings 2" w:cs="Wingdings 2" w:hint="default"/>
      </w:rPr>
    </w:lvl>
    <w:lvl w:ilvl="2">
      <w:start w:val="1"/>
      <w:numFmt w:val="bullet"/>
      <w:lvlText w:val="■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"/>
      <w:lvlJc w:val="left"/>
      <w:pPr>
        <w:tabs>
          <w:tab w:val="num" w:pos="0"/>
        </w:tabs>
        <w:ind w:left="3600" w:hanging="360"/>
      </w:pPr>
      <w:rPr>
        <w:rFonts w:ascii="Wingdings 2" w:hAnsi="Wingdings 2" w:cs="Wingdings 2" w:hint="default"/>
      </w:rPr>
    </w:lvl>
    <w:lvl w:ilvl="5">
      <w:start w:val="1"/>
      <w:numFmt w:val="bullet"/>
      <w:lvlText w:val="■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"/>
      <w:lvlJc w:val="left"/>
      <w:pPr>
        <w:tabs>
          <w:tab w:val="num" w:pos="0"/>
        </w:tabs>
        <w:ind w:left="5760" w:hanging="360"/>
      </w:pPr>
      <w:rPr>
        <w:rFonts w:ascii="Wingdings 2" w:hAnsi="Wingdings 2" w:cs="Wingdings 2" w:hint="default"/>
      </w:rPr>
    </w:lvl>
    <w:lvl w:ilvl="8">
      <w:start w:val="1"/>
      <w:numFmt w:val="bullet"/>
      <w:lvlText w:val="■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5"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-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-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-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1"/>
      <w:numFmt w:val="bullet"/>
      <w:lvlText w:val="-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-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-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1"/>
      <w:numFmt w:val="bullet"/>
      <w:lvlText w:val="-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-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6">
    <w:lvl w:ilvl="0">
      <w:start w:val="1"/>
      <w:numFmt w:val="bullet"/>
      <w:lvlText w:val="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"/>
      <w:lvlJc w:val="left"/>
      <w:pPr>
        <w:tabs>
          <w:tab w:val="num" w:pos="0"/>
        </w:tabs>
        <w:ind w:left="1440" w:hanging="360"/>
      </w:pPr>
      <w:rPr>
        <w:rFonts w:ascii="Wingdings 2" w:hAnsi="Wingdings 2" w:cs="Wingdings 2" w:hint="default"/>
      </w:rPr>
    </w:lvl>
    <w:lvl w:ilvl="2">
      <w:start w:val="1"/>
      <w:numFmt w:val="bullet"/>
      <w:lvlText w:val="■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"/>
      <w:lvlJc w:val="left"/>
      <w:pPr>
        <w:tabs>
          <w:tab w:val="num" w:pos="0"/>
        </w:tabs>
        <w:ind w:left="3600" w:hanging="360"/>
      </w:pPr>
      <w:rPr>
        <w:rFonts w:ascii="Wingdings 2" w:hAnsi="Wingdings 2" w:cs="Wingdings 2" w:hint="default"/>
      </w:rPr>
    </w:lvl>
    <w:lvl w:ilvl="5">
      <w:start w:val="1"/>
      <w:numFmt w:val="bullet"/>
      <w:lvlText w:val="■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"/>
      <w:lvlJc w:val="left"/>
      <w:pPr>
        <w:tabs>
          <w:tab w:val="num" w:pos="0"/>
        </w:tabs>
        <w:ind w:left="5760" w:hanging="360"/>
      </w:pPr>
      <w:rPr>
        <w:rFonts w:ascii="Wingdings 2" w:hAnsi="Wingdings 2" w:cs="Wingdings 2" w:hint="default"/>
      </w:rPr>
    </w:lvl>
    <w:lvl w:ilvl="8">
      <w:start w:val="1"/>
      <w:numFmt w:val="bullet"/>
      <w:lvlText w:val="■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7">
    <w:lvl w:ilvl="0">
      <w:start w:val="1"/>
      <w:numFmt w:val="bullet"/>
      <w:lvlText w:val="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"/>
      <w:lvlJc w:val="left"/>
      <w:pPr>
        <w:tabs>
          <w:tab w:val="num" w:pos="0"/>
        </w:tabs>
        <w:ind w:left="1440" w:hanging="360"/>
      </w:pPr>
      <w:rPr>
        <w:rFonts w:ascii="Wingdings 2" w:hAnsi="Wingdings 2" w:cs="Wingdings 2" w:hint="default"/>
      </w:rPr>
    </w:lvl>
    <w:lvl w:ilvl="2">
      <w:start w:val="1"/>
      <w:numFmt w:val="bullet"/>
      <w:lvlText w:val="■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"/>
      <w:lvlJc w:val="left"/>
      <w:pPr>
        <w:tabs>
          <w:tab w:val="num" w:pos="0"/>
        </w:tabs>
        <w:ind w:left="3600" w:hanging="360"/>
      </w:pPr>
      <w:rPr>
        <w:rFonts w:ascii="Wingdings 2" w:hAnsi="Wingdings 2" w:cs="Wingdings 2" w:hint="default"/>
      </w:rPr>
    </w:lvl>
    <w:lvl w:ilvl="5">
      <w:start w:val="1"/>
      <w:numFmt w:val="bullet"/>
      <w:lvlText w:val="■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"/>
      <w:lvlJc w:val="left"/>
      <w:pPr>
        <w:tabs>
          <w:tab w:val="num" w:pos="0"/>
        </w:tabs>
        <w:ind w:left="5760" w:hanging="360"/>
      </w:pPr>
      <w:rPr>
        <w:rFonts w:ascii="Wingdings 2" w:hAnsi="Wingdings 2" w:cs="Wingdings 2" w:hint="default"/>
      </w:rPr>
    </w:lvl>
    <w:lvl w:ilvl="8">
      <w:start w:val="1"/>
      <w:numFmt w:val="bullet"/>
      <w:lvlText w:val="■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8">
    <w:lvl w:ilvl="0">
      <w:start w:val="1"/>
      <w:numFmt w:val="bullet"/>
      <w:lvlText w:val="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"/>
      <w:lvlJc w:val="left"/>
      <w:pPr>
        <w:tabs>
          <w:tab w:val="num" w:pos="0"/>
        </w:tabs>
        <w:ind w:left="1440" w:hanging="360"/>
      </w:pPr>
      <w:rPr>
        <w:rFonts w:ascii="Wingdings 2" w:hAnsi="Wingdings 2" w:cs="Wingdings 2" w:hint="default"/>
      </w:rPr>
    </w:lvl>
    <w:lvl w:ilvl="2">
      <w:start w:val="1"/>
      <w:numFmt w:val="bullet"/>
      <w:lvlText w:val="■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"/>
      <w:lvlJc w:val="left"/>
      <w:pPr>
        <w:tabs>
          <w:tab w:val="num" w:pos="0"/>
        </w:tabs>
        <w:ind w:left="3600" w:hanging="360"/>
      </w:pPr>
      <w:rPr>
        <w:rFonts w:ascii="Wingdings 2" w:hAnsi="Wingdings 2" w:cs="Wingdings 2" w:hint="default"/>
      </w:rPr>
    </w:lvl>
    <w:lvl w:ilvl="5">
      <w:start w:val="1"/>
      <w:numFmt w:val="bullet"/>
      <w:lvlText w:val="■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"/>
      <w:lvlJc w:val="left"/>
      <w:pPr>
        <w:tabs>
          <w:tab w:val="num" w:pos="0"/>
        </w:tabs>
        <w:ind w:left="5760" w:hanging="360"/>
      </w:pPr>
      <w:rPr>
        <w:rFonts w:ascii="Wingdings 2" w:hAnsi="Wingdings 2" w:cs="Wingdings 2" w:hint="default"/>
      </w:rPr>
    </w:lvl>
    <w:lvl w:ilvl="8">
      <w:start w:val="1"/>
      <w:numFmt w:val="bullet"/>
      <w:lvlText w:val="■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9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0">
    <w:lvl w:ilvl="0">
      <w:start w:val="1"/>
      <w:numFmt w:val="bullet"/>
      <w:lvlText w:val="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"/>
      <w:lvlJc w:val="left"/>
      <w:pPr>
        <w:tabs>
          <w:tab w:val="num" w:pos="0"/>
        </w:tabs>
        <w:ind w:left="1440" w:hanging="360"/>
      </w:pPr>
      <w:rPr>
        <w:rFonts w:ascii="Wingdings 2" w:hAnsi="Wingdings 2" w:cs="Wingdings 2" w:hint="default"/>
      </w:rPr>
    </w:lvl>
    <w:lvl w:ilvl="2">
      <w:start w:val="1"/>
      <w:numFmt w:val="bullet"/>
      <w:lvlText w:val="■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"/>
      <w:lvlJc w:val="left"/>
      <w:pPr>
        <w:tabs>
          <w:tab w:val="num" w:pos="0"/>
        </w:tabs>
        <w:ind w:left="3600" w:hanging="360"/>
      </w:pPr>
      <w:rPr>
        <w:rFonts w:ascii="Wingdings 2" w:hAnsi="Wingdings 2" w:cs="Wingdings 2" w:hint="default"/>
      </w:rPr>
    </w:lvl>
    <w:lvl w:ilvl="5">
      <w:start w:val="1"/>
      <w:numFmt w:val="bullet"/>
      <w:lvlText w:val="■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"/>
      <w:lvlJc w:val="left"/>
      <w:pPr>
        <w:tabs>
          <w:tab w:val="num" w:pos="0"/>
        </w:tabs>
        <w:ind w:left="5760" w:hanging="360"/>
      </w:pPr>
      <w:rPr>
        <w:rFonts w:ascii="Wingdings 2" w:hAnsi="Wingdings 2" w:cs="Wingdings 2" w:hint="default"/>
      </w:rPr>
    </w:lvl>
    <w:lvl w:ilvl="8">
      <w:start w:val="1"/>
      <w:numFmt w:val="bullet"/>
      <w:lvlText w:val="■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11">
    <w:lvl w:ilvl="0">
      <w:start w:val="1"/>
      <w:numFmt w:val="bullet"/>
      <w:lvlText w:val="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"/>
      <w:lvlJc w:val="left"/>
      <w:pPr>
        <w:tabs>
          <w:tab w:val="num" w:pos="0"/>
        </w:tabs>
        <w:ind w:left="1440" w:hanging="360"/>
      </w:pPr>
      <w:rPr>
        <w:rFonts w:ascii="Wingdings" w:hAnsi="Wingdings" w:cs="Wingdings" w:hint="default"/>
      </w:rPr>
    </w:lvl>
    <w:lvl w:ilvl="2">
      <w:start w:val="1"/>
      <w:numFmt w:val="bullet"/>
      <w:lvlText w:val="■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"/>
      <w:lvlJc w:val="left"/>
      <w:pPr>
        <w:tabs>
          <w:tab w:val="num" w:pos="0"/>
        </w:tabs>
        <w:ind w:left="3600" w:hanging="360"/>
      </w:pPr>
      <w:rPr>
        <w:rFonts w:ascii="Wingdings 2" w:hAnsi="Wingdings 2" w:cs="Wingdings 2" w:hint="default"/>
      </w:rPr>
    </w:lvl>
    <w:lvl w:ilvl="5">
      <w:start w:val="1"/>
      <w:numFmt w:val="bullet"/>
      <w:lvlText w:val="■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"/>
      <w:lvlJc w:val="left"/>
      <w:pPr>
        <w:tabs>
          <w:tab w:val="num" w:pos="0"/>
        </w:tabs>
        <w:ind w:left="5760" w:hanging="360"/>
      </w:pPr>
      <w:rPr>
        <w:rFonts w:ascii="Wingdings 2" w:hAnsi="Wingdings 2" w:cs="Wingdings 2" w:hint="default"/>
      </w:rPr>
    </w:lvl>
    <w:lvl w:ilvl="8">
      <w:start w:val="1"/>
      <w:numFmt w:val="bullet"/>
      <w:lvlText w:val="■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12">
    <w:lvl w:ilvl="0">
      <w:start w:val="1"/>
      <w:numFmt w:val="bullet"/>
      <w:lvlText w:val="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"/>
      <w:lvlJc w:val="left"/>
      <w:pPr>
        <w:tabs>
          <w:tab w:val="num" w:pos="0"/>
        </w:tabs>
        <w:ind w:left="1440" w:hanging="360"/>
      </w:pPr>
      <w:rPr>
        <w:rFonts w:ascii="Wingdings 2" w:hAnsi="Wingdings 2" w:cs="Wingdings 2" w:hint="default"/>
      </w:rPr>
    </w:lvl>
    <w:lvl w:ilvl="2">
      <w:start w:val="1"/>
      <w:numFmt w:val="bullet"/>
      <w:lvlText w:val="■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"/>
      <w:lvlJc w:val="left"/>
      <w:pPr>
        <w:tabs>
          <w:tab w:val="num" w:pos="0"/>
        </w:tabs>
        <w:ind w:left="3600" w:hanging="360"/>
      </w:pPr>
      <w:rPr>
        <w:rFonts w:ascii="Wingdings 2" w:hAnsi="Wingdings 2" w:cs="Wingdings 2" w:hint="default"/>
      </w:rPr>
    </w:lvl>
    <w:lvl w:ilvl="5">
      <w:start w:val="1"/>
      <w:numFmt w:val="bullet"/>
      <w:lvlText w:val="■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"/>
      <w:lvlJc w:val="left"/>
      <w:pPr>
        <w:tabs>
          <w:tab w:val="num" w:pos="0"/>
        </w:tabs>
        <w:ind w:left="5760" w:hanging="360"/>
      </w:pPr>
      <w:rPr>
        <w:rFonts w:ascii="Wingdings 2" w:hAnsi="Wingdings 2" w:cs="Wingdings 2" w:hint="default"/>
      </w:rPr>
    </w:lvl>
    <w:lvl w:ilvl="8">
      <w:start w:val="1"/>
      <w:numFmt w:val="bullet"/>
      <w:lvlText w:val="■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13">
    <w:lvl w:ilvl="0">
      <w:start w:val="1"/>
      <w:numFmt w:val="bullet"/>
      <w:lvlText w:val="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"/>
      <w:lvlJc w:val="left"/>
      <w:pPr>
        <w:tabs>
          <w:tab w:val="num" w:pos="0"/>
        </w:tabs>
        <w:ind w:left="1440" w:hanging="360"/>
      </w:pPr>
      <w:rPr>
        <w:rFonts w:ascii="Wingdings 2" w:hAnsi="Wingdings 2" w:cs="Wingdings 2" w:hint="default"/>
      </w:rPr>
    </w:lvl>
    <w:lvl w:ilvl="2">
      <w:start w:val="1"/>
      <w:numFmt w:val="bullet"/>
      <w:lvlText w:val="■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"/>
      <w:lvlJc w:val="left"/>
      <w:pPr>
        <w:tabs>
          <w:tab w:val="num" w:pos="0"/>
        </w:tabs>
        <w:ind w:left="3600" w:hanging="360"/>
      </w:pPr>
      <w:rPr>
        <w:rFonts w:ascii="Wingdings 2" w:hAnsi="Wingdings 2" w:cs="Wingdings 2" w:hint="default"/>
      </w:rPr>
    </w:lvl>
    <w:lvl w:ilvl="5">
      <w:start w:val="1"/>
      <w:numFmt w:val="bullet"/>
      <w:lvlText w:val="■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"/>
      <w:lvlJc w:val="left"/>
      <w:pPr>
        <w:tabs>
          <w:tab w:val="num" w:pos="0"/>
        </w:tabs>
        <w:ind w:left="5760" w:hanging="360"/>
      </w:pPr>
      <w:rPr>
        <w:rFonts w:ascii="Wingdings 2" w:hAnsi="Wingdings 2" w:cs="Wingdings 2" w:hint="default"/>
      </w:rPr>
    </w:lvl>
    <w:lvl w:ilvl="8">
      <w:start w:val="1"/>
      <w:numFmt w:val="bullet"/>
      <w:lvlText w:val="■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14">
    <w:lvl w:ilvl="0">
      <w:start w:val="1"/>
      <w:numFmt w:val="bullet"/>
      <w:lvlText w:val="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"/>
      <w:lvlJc w:val="left"/>
      <w:pPr>
        <w:tabs>
          <w:tab w:val="num" w:pos="0"/>
        </w:tabs>
        <w:ind w:left="1440" w:hanging="360"/>
      </w:pPr>
      <w:rPr>
        <w:rFonts w:ascii="Wingdings 2" w:hAnsi="Wingdings 2" w:cs="Wingdings 2" w:hint="default"/>
      </w:rPr>
    </w:lvl>
    <w:lvl w:ilvl="2">
      <w:start w:val="1"/>
      <w:numFmt w:val="bullet"/>
      <w:lvlText w:val="■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"/>
      <w:lvlJc w:val="left"/>
      <w:pPr>
        <w:tabs>
          <w:tab w:val="num" w:pos="0"/>
        </w:tabs>
        <w:ind w:left="3600" w:hanging="360"/>
      </w:pPr>
      <w:rPr>
        <w:rFonts w:ascii="Wingdings 2" w:hAnsi="Wingdings 2" w:cs="Wingdings 2" w:hint="default"/>
      </w:rPr>
    </w:lvl>
    <w:lvl w:ilvl="5">
      <w:start w:val="1"/>
      <w:numFmt w:val="bullet"/>
      <w:lvlText w:val="■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"/>
      <w:lvlJc w:val="left"/>
      <w:pPr>
        <w:tabs>
          <w:tab w:val="num" w:pos="0"/>
        </w:tabs>
        <w:ind w:left="5760" w:hanging="360"/>
      </w:pPr>
      <w:rPr>
        <w:rFonts w:ascii="Wingdings 2" w:hAnsi="Wingdings 2" w:cs="Wingdings 2" w:hint="default"/>
      </w:rPr>
    </w:lvl>
    <w:lvl w:ilvl="8">
      <w:start w:val="1"/>
      <w:numFmt w:val="bullet"/>
      <w:lvlText w:val="■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15">
    <w:lvl w:ilvl="0">
      <w:start w:val="1"/>
      <w:numFmt w:val="bullet"/>
      <w:lvlText w:val="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"/>
      <w:lvlJc w:val="left"/>
      <w:pPr>
        <w:tabs>
          <w:tab w:val="num" w:pos="0"/>
        </w:tabs>
        <w:ind w:left="1440" w:hanging="360"/>
      </w:pPr>
      <w:rPr>
        <w:rFonts w:ascii="Wingdings 2" w:hAnsi="Wingdings 2" w:cs="Wingdings 2" w:hint="default"/>
      </w:rPr>
    </w:lvl>
    <w:lvl w:ilvl="2">
      <w:start w:val="1"/>
      <w:numFmt w:val="bullet"/>
      <w:lvlText w:val="■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"/>
      <w:lvlJc w:val="left"/>
      <w:pPr>
        <w:tabs>
          <w:tab w:val="num" w:pos="0"/>
        </w:tabs>
        <w:ind w:left="3600" w:hanging="360"/>
      </w:pPr>
      <w:rPr>
        <w:rFonts w:ascii="Wingdings 2" w:hAnsi="Wingdings 2" w:cs="Wingdings 2" w:hint="default"/>
      </w:rPr>
    </w:lvl>
    <w:lvl w:ilvl="5">
      <w:start w:val="1"/>
      <w:numFmt w:val="bullet"/>
      <w:lvlText w:val="■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"/>
      <w:lvlJc w:val="left"/>
      <w:pPr>
        <w:tabs>
          <w:tab w:val="num" w:pos="0"/>
        </w:tabs>
        <w:ind w:left="5760" w:hanging="360"/>
      </w:pPr>
      <w:rPr>
        <w:rFonts w:ascii="Wingdings 2" w:hAnsi="Wingdings 2" w:cs="Wingdings 2" w:hint="default"/>
      </w:rPr>
    </w:lvl>
    <w:lvl w:ilvl="8">
      <w:start w:val="1"/>
      <w:numFmt w:val="bullet"/>
      <w:lvlText w:val="■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16">
    <w:lvl w:ilvl="0">
      <w:start w:val="1"/>
      <w:numFmt w:val="bullet"/>
      <w:lvlText w:val="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"/>
      <w:lvlJc w:val="left"/>
      <w:pPr>
        <w:tabs>
          <w:tab w:val="num" w:pos="0"/>
        </w:tabs>
        <w:ind w:left="1440" w:hanging="360"/>
      </w:pPr>
      <w:rPr>
        <w:rFonts w:ascii="Wingdings 2" w:hAnsi="Wingdings 2" w:cs="Wingdings 2" w:hint="default"/>
      </w:rPr>
    </w:lvl>
    <w:lvl w:ilvl="2">
      <w:start w:val="1"/>
      <w:numFmt w:val="bullet"/>
      <w:lvlText w:val="■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"/>
      <w:lvlJc w:val="left"/>
      <w:pPr>
        <w:tabs>
          <w:tab w:val="num" w:pos="0"/>
        </w:tabs>
        <w:ind w:left="3600" w:hanging="360"/>
      </w:pPr>
      <w:rPr>
        <w:rFonts w:ascii="Wingdings 2" w:hAnsi="Wingdings 2" w:cs="Wingdings 2" w:hint="default"/>
      </w:rPr>
    </w:lvl>
    <w:lvl w:ilvl="5">
      <w:start w:val="1"/>
      <w:numFmt w:val="bullet"/>
      <w:lvlText w:val="■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"/>
      <w:lvlJc w:val="left"/>
      <w:pPr>
        <w:tabs>
          <w:tab w:val="num" w:pos="0"/>
        </w:tabs>
        <w:ind w:left="5760" w:hanging="360"/>
      </w:pPr>
      <w:rPr>
        <w:rFonts w:ascii="Wingdings 2" w:hAnsi="Wingdings 2" w:cs="Wingdings 2" w:hint="default"/>
      </w:rPr>
    </w:lvl>
    <w:lvl w:ilvl="8">
      <w:start w:val="1"/>
      <w:numFmt w:val="bullet"/>
      <w:lvlText w:val="■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17"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tabs>
          <w:tab w:val="num" w:pos="0"/>
        </w:tabs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tabs>
          <w:tab w:val="num" w:pos="0"/>
        </w:tabs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360"/>
      </w:pPr>
      <w:rPr>
        <w:u w:val="none"/>
      </w:rPr>
    </w:lvl>
  </w:abstractNum>
  <w:abstractNum w:abstractNumId="18"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tabs>
          <w:tab w:val="num" w:pos="0"/>
        </w:tabs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tabs>
          <w:tab w:val="num" w:pos="0"/>
        </w:tabs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360"/>
      </w:pPr>
      <w:rPr>
        <w:u w:val="none"/>
      </w:rPr>
    </w:lvl>
  </w:abstractNum>
  <w:abstractNum w:abstractNumId="19">
    <w:lvl w:ilvl="0">
      <w:start w:val="1"/>
      <w:numFmt w:val="bullet"/>
      <w:lvlText w:val="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"/>
      <w:lvlJc w:val="left"/>
      <w:pPr>
        <w:tabs>
          <w:tab w:val="num" w:pos="0"/>
        </w:tabs>
        <w:ind w:left="1440" w:hanging="360"/>
      </w:pPr>
      <w:rPr>
        <w:rFonts w:ascii="Wingdings 2" w:hAnsi="Wingdings 2" w:cs="Wingdings 2" w:hint="default"/>
      </w:rPr>
    </w:lvl>
    <w:lvl w:ilvl="2">
      <w:start w:val="1"/>
      <w:numFmt w:val="bullet"/>
      <w:lvlText w:val="■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"/>
      <w:lvlJc w:val="left"/>
      <w:pPr>
        <w:tabs>
          <w:tab w:val="num" w:pos="0"/>
        </w:tabs>
        <w:ind w:left="3600" w:hanging="360"/>
      </w:pPr>
      <w:rPr>
        <w:rFonts w:ascii="Wingdings 2" w:hAnsi="Wingdings 2" w:cs="Wingdings 2" w:hint="default"/>
      </w:rPr>
    </w:lvl>
    <w:lvl w:ilvl="5">
      <w:start w:val="1"/>
      <w:numFmt w:val="bullet"/>
      <w:lvlText w:val="■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"/>
      <w:lvlJc w:val="left"/>
      <w:pPr>
        <w:tabs>
          <w:tab w:val="num" w:pos="0"/>
        </w:tabs>
        <w:ind w:left="5760" w:hanging="360"/>
      </w:pPr>
      <w:rPr>
        <w:rFonts w:ascii="Wingdings 2" w:hAnsi="Wingdings 2" w:cs="Wingdings 2" w:hint="default"/>
      </w:rPr>
    </w:lvl>
    <w:lvl w:ilvl="8">
      <w:start w:val="1"/>
      <w:numFmt w:val="bullet"/>
      <w:lvlText w:val="■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20">
    <w:lvl w:ilvl="0">
      <w:start w:val="1"/>
      <w:numFmt w:val="bullet"/>
      <w:lvlText w:val="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"/>
      <w:lvlJc w:val="left"/>
      <w:pPr>
        <w:tabs>
          <w:tab w:val="num" w:pos="0"/>
        </w:tabs>
        <w:ind w:left="1440" w:hanging="360"/>
      </w:pPr>
      <w:rPr>
        <w:rFonts w:ascii="Wingdings 2" w:hAnsi="Wingdings 2" w:cs="Wingdings 2" w:hint="default"/>
      </w:rPr>
    </w:lvl>
    <w:lvl w:ilvl="2">
      <w:start w:val="1"/>
      <w:numFmt w:val="bullet"/>
      <w:lvlText w:val="■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"/>
      <w:lvlJc w:val="left"/>
      <w:pPr>
        <w:tabs>
          <w:tab w:val="num" w:pos="0"/>
        </w:tabs>
        <w:ind w:left="3600" w:hanging="360"/>
      </w:pPr>
      <w:rPr>
        <w:rFonts w:ascii="Wingdings 2" w:hAnsi="Wingdings 2" w:cs="Wingdings 2" w:hint="default"/>
      </w:rPr>
    </w:lvl>
    <w:lvl w:ilvl="5">
      <w:start w:val="1"/>
      <w:numFmt w:val="bullet"/>
      <w:lvlText w:val="■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"/>
      <w:lvlJc w:val="left"/>
      <w:pPr>
        <w:tabs>
          <w:tab w:val="num" w:pos="0"/>
        </w:tabs>
        <w:ind w:left="5760" w:hanging="360"/>
      </w:pPr>
      <w:rPr>
        <w:rFonts w:ascii="Wingdings 2" w:hAnsi="Wingdings 2" w:cs="Wingdings 2" w:hint="default"/>
      </w:rPr>
    </w:lvl>
    <w:lvl w:ilvl="8">
      <w:start w:val="1"/>
      <w:numFmt w:val="bullet"/>
      <w:lvlText w:val="■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21">
    <w:lvl w:ilvl="0">
      <w:start w:val="1"/>
      <w:numFmt w:val="bullet"/>
      <w:lvlText w:val="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"/>
      <w:lvlJc w:val="left"/>
      <w:pPr>
        <w:tabs>
          <w:tab w:val="num" w:pos="0"/>
        </w:tabs>
        <w:ind w:left="1440" w:hanging="360"/>
      </w:pPr>
      <w:rPr>
        <w:rFonts w:ascii="Wingdings 2" w:hAnsi="Wingdings 2" w:cs="Wingdings 2" w:hint="default"/>
      </w:rPr>
    </w:lvl>
    <w:lvl w:ilvl="2">
      <w:start w:val="1"/>
      <w:numFmt w:val="bullet"/>
      <w:lvlText w:val="■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"/>
      <w:lvlJc w:val="left"/>
      <w:pPr>
        <w:tabs>
          <w:tab w:val="num" w:pos="0"/>
        </w:tabs>
        <w:ind w:left="3600" w:hanging="360"/>
      </w:pPr>
      <w:rPr>
        <w:rFonts w:ascii="Wingdings 2" w:hAnsi="Wingdings 2" w:cs="Wingdings 2" w:hint="default"/>
      </w:rPr>
    </w:lvl>
    <w:lvl w:ilvl="5">
      <w:start w:val="1"/>
      <w:numFmt w:val="bullet"/>
      <w:lvlText w:val="■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"/>
      <w:lvlJc w:val="left"/>
      <w:pPr>
        <w:tabs>
          <w:tab w:val="num" w:pos="0"/>
        </w:tabs>
        <w:ind w:left="5760" w:hanging="360"/>
      </w:pPr>
      <w:rPr>
        <w:rFonts w:ascii="Wingdings 2" w:hAnsi="Wingdings 2" w:cs="Wingdings 2" w:hint="default"/>
      </w:rPr>
    </w:lvl>
    <w:lvl w:ilvl="8">
      <w:start w:val="1"/>
      <w:numFmt w:val="bullet"/>
      <w:lvlText w:val="■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2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w="http://schemas.openxmlformats.org/wordprocessingml/2006/main">
  <w:zoom w:percent="90"/>
  <w:defaultTabStop w:val="709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Calibri" w:cs="Times New Roman"/>
        <w:sz w:val="22"/>
        <w:szCs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Times New Roman" w:hAnsi="Times New Roman" w:eastAsia="Calibri" w:cs="Times New Roman"/>
      <w:color w:val="auto"/>
      <w:kern w:val="0"/>
      <w:sz w:val="22"/>
      <w:szCs w:val="22"/>
      <w:lang w:val="ru-RU" w:eastAsia="ru-RU" w:bidi="ar-SA"/>
    </w:rPr>
  </w:style>
  <w:style w:type="paragraph" w:styleId="1">
    <w:name w:val="Heading 1"/>
    <w:basedOn w:val="Normal"/>
    <w:next w:val="Normal"/>
    <w:qFormat/>
    <w:pPr>
      <w:keepNext w:val="true"/>
      <w:spacing w:lineRule="auto" w:line="360" w:before="240" w:after="0"/>
      <w:jc w:val="both"/>
      <w:outlineLvl w:val="0"/>
    </w:pPr>
    <w:rPr>
      <w:rFonts w:eastAsia="Times New Roman"/>
      <w:b/>
      <w:sz w:val="28"/>
      <w:szCs w:val="28"/>
    </w:rPr>
  </w:style>
  <w:style w:type="paragraph" w:styleId="2">
    <w:name w:val="Heading 2"/>
    <w:basedOn w:val="Normal"/>
    <w:next w:val="Normal"/>
    <w:qFormat/>
    <w:pPr>
      <w:spacing w:lineRule="auto" w:line="360" w:before="240" w:after="0"/>
      <w:ind w:firstLine="709"/>
      <w:jc w:val="both"/>
      <w:outlineLvl w:val="1"/>
    </w:pPr>
    <w:rPr>
      <w:rFonts w:eastAsia="Times New Roman"/>
      <w:b/>
      <w:sz w:val="24"/>
      <w:szCs w:val="24"/>
      <w:u w:val="single"/>
    </w:rPr>
  </w:style>
  <w:style w:type="paragraph" w:styleId="3">
    <w:name w:val="Heading 3"/>
    <w:basedOn w:val="Normal"/>
    <w:next w:val="Normal"/>
    <w:qFormat/>
    <w:pPr>
      <w:keepNext w:val="true"/>
      <w:keepLines/>
      <w:spacing w:before="280" w:after="80"/>
      <w:ind w:left="720" w:hanging="360"/>
      <w:outlineLvl w:val="2"/>
    </w:pPr>
    <w:rPr>
      <w:rFonts w:eastAsia="Times New Roman"/>
      <w:b/>
      <w:i/>
      <w:sz w:val="24"/>
      <w:szCs w:val="24"/>
    </w:rPr>
  </w:style>
  <w:style w:type="paragraph" w:styleId="4">
    <w:name w:val="Heading 4"/>
    <w:basedOn w:val="Normal"/>
    <w:next w:val="Normal"/>
    <w:qFormat/>
    <w:pPr>
      <w:keepNext w:val="true"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Normal"/>
    <w:next w:val="Normal"/>
    <w:qFormat/>
    <w:pPr>
      <w:keepNext w:val="true"/>
      <w:keepLines/>
      <w:spacing w:before="220" w:after="40"/>
      <w:outlineLvl w:val="4"/>
    </w:pPr>
    <w:rPr>
      <w:b/>
    </w:rPr>
  </w:style>
  <w:style w:type="paragraph" w:styleId="6">
    <w:name w:val="Heading 6"/>
    <w:basedOn w:val="Normal"/>
    <w:next w:val="Normal"/>
    <w:qFormat/>
    <w:pPr>
      <w:keepNext w:val="true"/>
      <w:keepLines/>
      <w:spacing w:before="200" w:after="40"/>
      <w:outlineLvl w:val="5"/>
    </w:pPr>
    <w:rPr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8">
    <w:name w:val="Интернет-ссылка"/>
    <w:rPr>
      <w:color w:val="000080"/>
      <w:u w:val="single"/>
      <w:lang w:val="zxx" w:eastAsia="zxx" w:bidi="zxx"/>
    </w:rPr>
  </w:style>
  <w:style w:type="character" w:styleId="Style9">
    <w:name w:val="Ссылка указателя"/>
    <w:qFormat/>
    <w:rPr/>
  </w:style>
  <w:style w:type="paragraph" w:styleId="Style10">
    <w:name w:val="Заголовок"/>
    <w:basedOn w:val="Normal"/>
    <w:next w:val="Style11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1">
    <w:name w:val="Body Text"/>
    <w:basedOn w:val="Normal"/>
    <w:pPr>
      <w:spacing w:lineRule="auto" w:line="276" w:before="0" w:after="140"/>
    </w:pPr>
    <w:rPr/>
  </w:style>
  <w:style w:type="paragraph" w:styleId="Style12">
    <w:name w:val="List"/>
    <w:basedOn w:val="Style11"/>
    <w:pPr/>
    <w:rPr>
      <w:rFonts w:cs="Arial"/>
    </w:rPr>
  </w:style>
  <w:style w:type="paragraph" w:styleId="Style13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4">
    <w:name w:val="Указатель"/>
    <w:basedOn w:val="Normal"/>
    <w:qFormat/>
    <w:pPr>
      <w:suppressLineNumbers/>
    </w:pPr>
    <w:rPr>
      <w:rFonts w:cs="Arial"/>
    </w:rPr>
  </w:style>
  <w:style w:type="paragraph" w:styleId="Style15">
    <w:name w:val="Title"/>
    <w:basedOn w:val="Normal"/>
    <w:next w:val="Normal"/>
    <w:qFormat/>
    <w:pPr>
      <w:keepNext w:val="true"/>
      <w:keepLines/>
      <w:spacing w:before="480" w:after="120"/>
    </w:pPr>
    <w:rPr>
      <w:b/>
      <w:sz w:val="72"/>
      <w:szCs w:val="72"/>
    </w:rPr>
  </w:style>
  <w:style w:type="paragraph" w:styleId="Style16">
    <w:name w:val="Subtitle"/>
    <w:basedOn w:val="Normal"/>
    <w:next w:val="Normal"/>
    <w:qFormat/>
    <w:pPr>
      <w:spacing w:lineRule="auto" w:line="360" w:before="0" w:after="0"/>
      <w:jc w:val="both"/>
    </w:pPr>
    <w:rPr>
      <w:rFonts w:eastAsia="Times New Roman"/>
      <w:i/>
      <w:sz w:val="24"/>
      <w:szCs w:val="24"/>
    </w:rPr>
  </w:style>
  <w:style w:type="paragraph" w:styleId="Style17">
    <w:name w:val="Содержимое врезки"/>
    <w:basedOn w:val="Normal"/>
    <w:qFormat/>
    <w:pPr/>
    <w:rPr/>
  </w:style>
  <w:style w:type="paragraph" w:styleId="Style18">
    <w:name w:val="Верхний и нижний колонтитулы"/>
    <w:basedOn w:val="Normal"/>
    <w:qFormat/>
    <w:pPr/>
    <w:rPr/>
  </w:style>
  <w:style w:type="paragraph" w:styleId="Style19">
    <w:name w:val="Footer"/>
    <w:basedOn w:val="Style18"/>
    <w:pPr/>
    <w:rPr/>
  </w:style>
  <w:style w:type="paragraph" w:styleId="Style20">
    <w:name w:val="Header"/>
    <w:basedOn w:val="Style18"/>
    <w:pPr/>
    <w:rPr/>
  </w:style>
  <w:style w:type="paragraph" w:styleId="Style21">
    <w:name w:val="Содержимое таблицы"/>
    <w:basedOn w:val="Normal"/>
    <w:qFormat/>
    <w:pPr>
      <w:suppressLineNumbers/>
    </w:pPr>
    <w:rPr/>
  </w:style>
  <w:style w:type="paragraph" w:styleId="11">
    <w:name w:val="TOC 1"/>
    <w:basedOn w:val="Style14"/>
    <w:pPr>
      <w:tabs>
        <w:tab w:val="clear" w:pos="709"/>
        <w:tab w:val="right" w:pos="9346" w:leader="dot"/>
      </w:tabs>
      <w:ind w:left="0" w:hanging="0"/>
    </w:pPr>
    <w:rPr/>
  </w:style>
  <w:style w:type="paragraph" w:styleId="21">
    <w:name w:val="TOC 2"/>
    <w:basedOn w:val="Style14"/>
    <w:pPr>
      <w:tabs>
        <w:tab w:val="clear" w:pos="709"/>
        <w:tab w:val="right" w:pos="9063" w:leader="dot"/>
      </w:tabs>
      <w:ind w:left="283" w:hanging="0"/>
    </w:pPr>
    <w:rPr/>
  </w:style>
  <w:style w:type="paragraph" w:styleId="31">
    <w:name w:val="TOC 3"/>
    <w:basedOn w:val="Style14"/>
    <w:pPr>
      <w:tabs>
        <w:tab w:val="clear" w:pos="709"/>
        <w:tab w:val="right" w:pos="8780" w:leader="dot"/>
      </w:tabs>
      <w:ind w:left="566" w:hanging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oter" Target="footer2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Application>LibreOffice/7.0.1.2$Windows_X86_64 LibreOffice_project/7cbcfc562f6eb6708b5ff7d7397325de9e764452</Application>
  <Pages>21</Pages>
  <Words>3425</Words>
  <Characters>24125</Characters>
  <CharactersWithSpaces>27576</CharactersWithSpaces>
  <Paragraphs>437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ru-RU</dc:language>
  <cp:lastModifiedBy/>
  <dcterms:modified xsi:type="dcterms:W3CDTF">2020-11-15T21:20:21Z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