
<file path=[Content_Types].xml><?xml version="1.0" encoding="utf-8"?>
<Types xmlns="http://schemas.openxmlformats.org/package/2006/content-types">
  <Default ContentType="image/jpeg" Extension="jpeg"/>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pStyle w:val="Style_2"/>
      </w:pPr>
      <w:bookmarkStart w:id="1" w:name="_GoBack"/>
      <w:bookmarkEnd w:id="1"/>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114300" distR="114300" distT="0" layoutInCell="true" locked="false" relativeHeight="251658240" simplePos="false">
                <wp:simplePos x="0" y="0"/>
                <wp:positionH relativeFrom="column">
                  <wp:posOffset>-822960</wp:posOffset>
                </wp:positionH>
                <wp:positionV relativeFrom="paragraph">
                  <wp:posOffset>-491490</wp:posOffset>
                </wp:positionV>
                <wp:extent cx="7000875" cy="8448675"/>
                <wp:wrapNone/>
                <wp:docPr hidden="false" id="1" name="Picture 1"/>
                <a:graphic>
                  <a:graphicData uri="http://schemas.microsoft.com/office/word/2010/wordprocessingShape">
                    <wps:wsp>
                      <wps:cNvSpPr txBox="false"/>
                      <wps:spPr>
                        <a:xfrm flipH="false" flipV="false" rot="0">
                          <a:off x="0" y="0"/>
                          <a:ext cx="7000875" cy="8448675"/>
                        </a:xfrm>
                        <a:prstGeom prst="rect">
                          <a:avLst/>
                        </a:prstGeom>
                        <a:solidFill>
                          <a:schemeClr val="bg1"/>
                        </a:solidFill>
                        <a:ln>
                          <a:noFill/>
                        </a:ln>
                      </wps:spPr>
                      <wps:bodyPr anchor="ctr" bIns="45720" lIns="91440" rIns="91440" tIns="45720" vert="horz" wrap="square">
                        <a:no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true" distB="0" distL="114300" distR="114300" distT="0" layoutInCell="true" locked="false" relativeHeight="251658240" simplePos="false">
                <wp:simplePos x="0" y="0"/>
                <wp:positionH relativeFrom="page">
                  <wp:posOffset>-35560</wp:posOffset>
                </wp:positionH>
                <wp:positionV relativeFrom="paragraph">
                  <wp:posOffset>-1113790</wp:posOffset>
                </wp:positionV>
                <wp:extent cx="7601585" cy="11021060"/>
                <wp:wrapNone/>
                <wp:docPr hidden="false" id="2" name="Picture 2"/>
                <a:graphic>
                  <a:graphicData uri="http://schemas.microsoft.com/office/word/2010/wordprocessingShape">
                    <wps:wsp>
                      <wps:cNvSpPr txBox="false"/>
                      <wps:spPr>
                        <a:xfrm flipH="false" flipV="false" rot="0">
                          <a:off x="0" y="0"/>
                          <a:ext cx="7601585" cy="11021060"/>
                        </a:xfrm>
                        <a:prstGeom prst="rect">
                          <a:avLst/>
                        </a:prstGeom>
                        <a:solidFill>
                          <a:srgbClr val="0B595D">
                            <a:alpha val="10000"/>
                          </a:srgbClr>
                        </a:solidFill>
                        <a:ln>
                          <a:noFill/>
                        </a:ln>
                      </wps:spPr>
                      <wps:bodyPr bIns="45720" lIns="91440" rIns="91440" tIns="45720"/>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07000000">
      <w:pPr>
        <w:pStyle w:val="Style_2"/>
      </w:pPr>
    </w:p>
    <w:p w14:paraId="08000000"/>
    <w:p w14:paraId="09000000"/>
    <w:p w14:paraId="0A000000"/>
    <w:tbl>
      <w:tblPr>
        <w:tblStyle w:val="Style_3"/>
        <w:tblpPr w:bottomFromText="0" w:horzAnchor="margin" w:leftFromText="180" w:rightFromText="180" w:tblpXSpec="right" w:tblpY="3781" w:topFromText="0" w:vertAnchor="page"/>
        <w:tblW w:type="auto" w:w="0"/>
        <w:tblBorders>
          <w:top w:color="000000" w:val="nil"/>
          <w:left w:color="000000" w:val="nil"/>
          <w:bottom w:color="000000" w:val="nil"/>
          <w:right w:color="000000" w:val="nil"/>
          <w:insideH w:color="000000" w:val="nil"/>
          <w:insideV w:color="000000" w:val="nil"/>
        </w:tblBorders>
        <w:tblLayout w:type="fixed"/>
      </w:tblPr>
      <w:tblGrid>
        <w:gridCol w:w="9525"/>
      </w:tblGrid>
      <w:tr>
        <w:tc>
          <w:tcPr>
            <w:tcW w:type="dxa" w:w="9525"/>
            <w:tcBorders>
              <w:top w:color="000000" w:val="nil"/>
              <w:left w:color="000000" w:val="nil"/>
              <w:bottom w:color="000000" w:val="nil"/>
              <w:right w:color="000000" w:val="nil"/>
            </w:tcBorders>
          </w:tcPr>
          <w:p w14:paraId="0B000000">
            <w:pPr>
              <w:widowControl w:val="1"/>
              <w:tabs>
                <w:tab w:leader="none" w:pos="6135" w:val="left"/>
              </w:tabs>
              <w:ind/>
              <w:rPr>
                <w:sz w:val="28"/>
              </w:rPr>
            </w:pPr>
            <w:bookmarkStart w:id="2" w:name="_Hlk185886387"/>
            <w:bookmarkStart w:id="3" w:name="_Hlk185886609"/>
            <w:bookmarkEnd w:id="3"/>
            <w:r>
              <w:rPr>
                <w:color w:themeColor="background1" w:themeShade="80" w:val="808080"/>
              </w:rPr>
              <w:t xml:space="preserve">Клинические </w:t>
            </w:r>
            <w:r>
              <w:rPr>
                <w:color w:themeColor="background2" w:themeShade="80" w:val="767171"/>
              </w:rPr>
              <w:t>рекомендации</w:t>
            </w:r>
          </w:p>
        </w:tc>
      </w:tr>
      <w:tr>
        <w:trPr>
          <w:trHeight w:hRule="atLeast" w:val="1907"/>
        </w:trPr>
        <w:tc>
          <w:tcPr>
            <w:tcW w:type="dxa" w:w="9525"/>
            <w:tcBorders>
              <w:top w:color="000000" w:val="nil"/>
              <w:left w:color="000000" w:val="nil"/>
              <w:bottom w:color="000000" w:val="nil"/>
              <w:right w:color="000000" w:val="nil"/>
            </w:tcBorders>
          </w:tcPr>
          <w:p w14:paraId="0C000000">
            <w:pPr>
              <w:widowControl w:val="1"/>
              <w:tabs>
                <w:tab w:leader="none" w:pos="6135" w:val="left"/>
              </w:tabs>
              <w:ind/>
              <w:rPr>
                <w:sz w:val="28"/>
              </w:rPr>
            </w:pPr>
            <w:r>
              <w:rPr>
                <w:b w:val="1"/>
                <w:color w:val="000000"/>
                <w:sz w:val="44"/>
              </w:rPr>
              <w:t>Кариес зубов</w:t>
            </w:r>
            <w:bookmarkEnd w:id="2"/>
          </w:p>
        </w:tc>
      </w:tr>
      <w:tr>
        <w:tc>
          <w:tcPr>
            <w:tcW w:type="dxa" w:w="9525"/>
            <w:tcBorders>
              <w:top w:color="000000" w:val="nil"/>
              <w:left w:color="000000" w:val="nil"/>
              <w:bottom w:color="000000" w:val="nil"/>
              <w:right w:color="000000" w:val="nil"/>
            </w:tcBorders>
          </w:tcPr>
          <w:p w14:paraId="0D000000">
            <w:pPr>
              <w:rPr>
                <w:color w:themeColor="background1" w:themeShade="80" w:val="808080"/>
              </w:rPr>
            </w:pPr>
            <w:r>
              <w:rPr>
                <w:color w:themeColor="background1" w:themeShade="80" w:val="808080"/>
              </w:rPr>
              <w:t xml:space="preserve">Коды по </w:t>
            </w:r>
            <w:r>
              <w:rPr>
                <w:color w:themeColor="background1" w:themeShade="80" w:val="808080"/>
              </w:rPr>
              <w:t>МКБ 10:</w:t>
            </w:r>
            <w:r>
              <w:rPr>
                <w:color w:themeColor="background1" w:themeShade="80" w:val="808080"/>
              </w:rPr>
              <w:t xml:space="preserve"> </w:t>
            </w:r>
            <w:r>
              <w:rPr>
                <w:b w:val="1"/>
              </w:rPr>
              <w:t>К02.0</w:t>
            </w:r>
          </w:p>
        </w:tc>
      </w:tr>
      <w:tr>
        <w:trPr>
          <w:trHeight w:hRule="atLeast" w:val="827"/>
        </w:trPr>
        <w:tc>
          <w:tcPr>
            <w:tcW w:type="dxa" w:w="9525"/>
            <w:tcBorders>
              <w:top w:color="000000" w:val="nil"/>
              <w:left w:color="000000" w:val="nil"/>
              <w:bottom w:color="000000" w:val="nil"/>
              <w:right w:color="000000" w:val="nil"/>
            </w:tcBorders>
          </w:tcPr>
          <w:p w14:paraId="0E000000">
            <w:pPr>
              <w:pStyle w:val="Style_4"/>
              <w:rPr>
                <w:sz w:val="24"/>
              </w:rPr>
            </w:pPr>
            <w:r>
              <w:rPr>
                <w:rStyle w:val="Style_5_ch"/>
                <w:color w:themeColor="background2" w:themeShade="80" w:val="767171"/>
                <w:sz w:val="24"/>
              </w:rPr>
              <w:t>Возрастная категория:</w:t>
            </w:r>
            <w:r>
              <w:rPr>
                <w:rStyle w:val="Style_5_ch"/>
                <w:color w:themeColor="background2" w:themeShade="80" w:val="767171"/>
                <w:sz w:val="24"/>
              </w:rPr>
              <w:t xml:space="preserve"> </w:t>
            </w:r>
            <w:r>
              <w:rPr>
                <w:rStyle w:val="Style_5_ch"/>
                <w:b w:val="1"/>
                <w:sz w:val="24"/>
              </w:rPr>
              <w:t>взрослы</w:t>
            </w:r>
            <w:r>
              <w:rPr>
                <w:rStyle w:val="Style_5_ch"/>
                <w:b w:val="1"/>
                <w:sz w:val="24"/>
              </w:rPr>
              <w:t>е</w:t>
            </w:r>
          </w:p>
          <w:p w14:paraId="0F000000">
            <w:pPr>
              <w:pStyle w:val="Style_4"/>
              <w:rPr>
                <w:sz w:val="24"/>
              </w:rPr>
            </w:pPr>
          </w:p>
        </w:tc>
      </w:tr>
      <w:tr>
        <w:trPr>
          <w:trHeight w:hRule="atLeast" w:val="794"/>
        </w:trPr>
        <w:tc>
          <w:tcPr>
            <w:tcW w:type="dxa" w:w="9525"/>
            <w:tcBorders>
              <w:top w:color="000000" w:val="nil"/>
              <w:left w:color="000000" w:val="nil"/>
              <w:bottom w:color="000000" w:val="nil"/>
              <w:right w:color="000000" w:val="nil"/>
            </w:tcBorders>
          </w:tcPr>
          <w:p w14:paraId="10000000">
            <w:pPr>
              <w:widowControl w:val="1"/>
              <w:tabs>
                <w:tab w:leader="none" w:pos="6135" w:val="left"/>
              </w:tabs>
              <w:ind/>
              <w:rPr>
                <w:color w:themeColor="background1" w:themeShade="80" w:val="808080"/>
                <w:sz w:val="20"/>
              </w:rPr>
            </w:pPr>
            <w:r>
              <w:rPr>
                <w:color w:themeColor="background1" w:themeShade="80" w:val="808080"/>
              </w:rPr>
              <w:t>Год утверждения</w:t>
            </w:r>
            <w:r>
              <w:rPr>
                <w:color w:themeColor="background1" w:themeShade="80" w:val="808080"/>
              </w:rPr>
              <w:t xml:space="preserve"> (частота пересмотра)</w:t>
            </w:r>
            <w:r>
              <w:rPr>
                <w:color w:themeColor="background1" w:themeShade="80" w:val="808080"/>
              </w:rPr>
              <w:t xml:space="preserve">: </w:t>
            </w:r>
          </w:p>
        </w:tc>
      </w:tr>
      <w:tr>
        <w:tc>
          <w:tcPr>
            <w:tcW w:type="dxa" w:w="9525"/>
            <w:tcBorders>
              <w:top w:color="000000" w:val="nil"/>
              <w:left w:color="000000" w:val="nil"/>
              <w:bottom w:color="000000" w:val="nil"/>
              <w:right w:color="000000" w:val="nil"/>
            </w:tcBorders>
          </w:tcPr>
          <w:p w14:paraId="11000000">
            <w:pPr>
              <w:widowControl w:val="1"/>
              <w:tabs>
                <w:tab w:leader="none" w:pos="6135" w:val="left"/>
              </w:tabs>
              <w:ind/>
              <w:rPr>
                <w:color w:val="FF0000"/>
                <w:sz w:val="20"/>
              </w:rPr>
            </w:pPr>
            <w:r>
              <w:rPr>
                <w:color w:themeColor="background1" w:themeShade="80" w:val="808080"/>
              </w:rPr>
              <w:t xml:space="preserve">Профессиональные </w:t>
            </w:r>
            <w:r>
              <w:rPr>
                <w:color w:themeColor="background1" w:themeShade="80" w:val="808080"/>
              </w:rPr>
              <w:t>некоммерческие медицинские организации-разработчики</w:t>
            </w:r>
            <w:r>
              <w:rPr>
                <w:color w:themeColor="background1" w:themeShade="80" w:val="808080"/>
              </w:rPr>
              <w:t>:</w:t>
            </w:r>
          </w:p>
        </w:tc>
      </w:tr>
      <w:tr>
        <w:trPr>
          <w:trHeight w:hRule="atLeast" w:val="4170"/>
        </w:trPr>
        <w:tc>
          <w:tcPr>
            <w:tcW w:type="dxa" w:w="9525"/>
            <w:tcBorders>
              <w:top w:color="000000" w:val="nil"/>
              <w:left w:color="000000" w:val="nil"/>
              <w:bottom w:color="000000" w:val="nil"/>
              <w:right w:color="000000" w:val="nil"/>
            </w:tcBorders>
          </w:tcPr>
          <w:p w14:paraId="12000000">
            <w:pPr>
              <w:pStyle w:val="Style_6"/>
              <w:numPr>
                <w:ilvl w:val="0"/>
                <w:numId w:val="1"/>
              </w:numPr>
              <w:rPr>
                <w:b w:val="1"/>
              </w:rPr>
            </w:pPr>
            <w:r>
              <w:rPr>
                <w:b w:val="1"/>
              </w:rPr>
              <w:t>Стоматологическая Ассоциация России</w:t>
            </w:r>
          </w:p>
          <w:p w14:paraId="13000000">
            <w:pPr>
              <w:pStyle w:val="Style_2"/>
              <w:widowControl w:val="1"/>
              <w:ind w:firstLine="0" w:left="1068"/>
              <w:rPr>
                <w:b w:val="1"/>
              </w:rPr>
            </w:pPr>
          </w:p>
          <w:p w14:paraId="14000000">
            <w:pPr>
              <w:pStyle w:val="Style_2"/>
              <w:widowControl w:val="1"/>
              <w:ind w:firstLine="0"/>
              <w:rPr>
                <w:b w:val="1"/>
                <w:sz w:val="28"/>
              </w:rPr>
            </w:pPr>
          </w:p>
        </w:tc>
      </w:tr>
    </w:tbl>
    <w:p w14:paraId="15000000"/>
    <w:p w14:paraId="16000000">
      <w:pPr>
        <w:pStyle w:val="Style_7"/>
      </w:pPr>
    </w:p>
    <w:p w14:paraId="17000000">
      <w:pPr>
        <w:widowControl w:val="1"/>
        <w:spacing w:line="240" w:lineRule="auto"/>
        <w:ind w:firstLine="0"/>
        <w:jc w:val="left"/>
      </w:pPr>
      <w:r>
        <w:rPr>
          <w:b w:val="1"/>
        </w:rPr>
        <w:br w:type="page"/>
      </w:r>
    </w:p>
    <w:p w14:paraId="18000000">
      <w:bookmarkStart w:id="4" w:name="__RefHeading___1"/>
      <w:bookmarkEnd w:id="4"/>
      <w:pPr>
        <w:pStyle w:val="Style_8"/>
      </w:pPr>
      <w:bookmarkStart w:id="5" w:name="_Hlk185876017"/>
      <w:r>
        <w:t>Оглавление</w:t>
      </w:r>
    </w:p>
    <w:p w14:paraId="19000000">
      <w:pPr>
        <w:pStyle w:val="Style_9"/>
        <w:rPr>
          <w:rFonts w:asciiTheme="minorAscii" w:hAnsiTheme="minorHAnsi"/>
          <w:sz w:val="22"/>
        </w:rPr>
      </w:pPr>
      <w:r>
        <w:t>II.</w:t>
      </w:r>
    </w:p>
    <w:p>
      <w:pPr>
        <w:pStyle w:val="Style_9"/>
        <w:tabs>
          <w:tab w:leader="none" w:pos="9355" w:val="clear"/>
          <w:tab w:leader="dot" w:pos="9355"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Оглавление</w:t>
      </w:r>
      <w:r>
        <w:tab/>
      </w:r>
      <w:r>
        <w:fldChar w:fldCharType="begin"/>
      </w:r>
      <w:r>
        <w:instrText>PAGEREF __RefHeading___1 \h</w:instrText>
      </w:r>
      <w:r>
        <w:fldChar w:fldCharType="separate"/>
      </w:r>
      <w:r>
        <w:t>#</w:t>
      </w:r>
      <w:r>
        <w:fldChar w:fldCharType="end"/>
      </w:r>
      <w:r>
        <w:fldChar w:fldCharType="end"/>
      </w:r>
    </w:p>
    <w:p w14:paraId="1B000000">
      <w:pPr>
        <w:pStyle w:val="Style_9"/>
        <w:tabs>
          <w:tab w:leader="none" w:pos="9355" w:val="clear"/>
          <w:tab w:leader="dot" w:pos="9355" w:val="right"/>
        </w:tabs>
        <w:ind/>
      </w:pPr>
      <w:r>
        <w:fldChar w:fldCharType="begin"/>
      </w:r>
      <w:r>
        <w:instrText>HYPERLINK \l "__RefHeading___2"</w:instrText>
      </w:r>
      <w:r>
        <w:fldChar w:fldCharType="separate"/>
      </w:r>
      <w:r>
        <w:t>Ключевые слова</w:t>
      </w:r>
      <w:r>
        <w:tab/>
      </w:r>
      <w:r>
        <w:fldChar w:fldCharType="begin"/>
      </w:r>
      <w:r>
        <w:instrText>PAGEREF __RefHeading___2 \h</w:instrText>
      </w:r>
      <w:r>
        <w:fldChar w:fldCharType="separate"/>
      </w:r>
      <w:r>
        <w:t>#</w:t>
      </w:r>
      <w:r>
        <w:fldChar w:fldCharType="end"/>
      </w:r>
      <w:r>
        <w:fldChar w:fldCharType="end"/>
      </w:r>
    </w:p>
    <w:p w14:paraId="1C000000">
      <w:pPr>
        <w:pStyle w:val="Style_9"/>
        <w:tabs>
          <w:tab w:leader="none" w:pos="9355" w:val="clear"/>
          <w:tab w:leader="dot" w:pos="9355" w:val="right"/>
        </w:tabs>
        <w:ind/>
      </w:pPr>
      <w:r>
        <w:fldChar w:fldCharType="begin"/>
      </w:r>
      <w:r>
        <w:instrText>HYPERLINK \l "__RefHeading___3"</w:instrText>
      </w:r>
      <w:r>
        <w:fldChar w:fldCharType="separate"/>
      </w:r>
      <w:r>
        <w:t xml:space="preserve">III. </w:t>
      </w:r>
      <w:r>
        <w:t>Список сокращений</w:t>
      </w:r>
      <w:r>
        <w:tab/>
      </w:r>
      <w:r>
        <w:fldChar w:fldCharType="begin"/>
      </w:r>
      <w:r>
        <w:instrText>PAGEREF __RefHeading___3 \h</w:instrText>
      </w:r>
      <w:r>
        <w:fldChar w:fldCharType="separate"/>
      </w:r>
      <w:r>
        <w:t>#</w:t>
      </w:r>
      <w:r>
        <w:fldChar w:fldCharType="end"/>
      </w:r>
      <w:r>
        <w:fldChar w:fldCharType="end"/>
      </w:r>
    </w:p>
    <w:p w14:paraId="1D000000">
      <w:pPr>
        <w:pStyle w:val="Style_9"/>
        <w:tabs>
          <w:tab w:leader="none" w:pos="9355" w:val="clear"/>
          <w:tab w:leader="dot" w:pos="9355" w:val="right"/>
        </w:tabs>
        <w:ind/>
      </w:pPr>
      <w:r>
        <w:fldChar w:fldCharType="begin"/>
      </w:r>
      <w:r>
        <w:instrText>HYPERLINK \l "__RefHeading___4"</w:instrText>
      </w:r>
      <w:r>
        <w:fldChar w:fldCharType="separate"/>
      </w:r>
      <w:r>
        <w:t>IV</w:t>
      </w:r>
      <w:r>
        <w:t>.</w:t>
      </w:r>
      <w:r>
        <w:t xml:space="preserve"> </w:t>
      </w:r>
      <w:r>
        <w:t>Термины и определения</w:t>
      </w:r>
      <w:r>
        <w:tab/>
      </w:r>
      <w:r>
        <w:fldChar w:fldCharType="begin"/>
      </w:r>
      <w:r>
        <w:instrText>PAGEREF __RefHeading___4 \h</w:instrText>
      </w:r>
      <w:r>
        <w:fldChar w:fldCharType="separate"/>
      </w:r>
      <w:r>
        <w:t>#</w:t>
      </w:r>
      <w:r>
        <w:fldChar w:fldCharType="end"/>
      </w:r>
      <w:r>
        <w:fldChar w:fldCharType="end"/>
      </w:r>
    </w:p>
    <w:p w14:paraId="1E000000">
      <w:pPr>
        <w:pStyle w:val="Style_9"/>
        <w:tabs>
          <w:tab w:leader="none" w:pos="9355" w:val="clear"/>
          <w:tab w:leader="dot" w:pos="9355" w:val="right"/>
        </w:tabs>
        <w:ind/>
      </w:pPr>
      <w:r>
        <w:fldChar w:fldCharType="begin"/>
      </w:r>
      <w:r>
        <w:instrText>HYPERLINK \l "__RefHeading___5"</w:instrText>
      </w:r>
      <w:r>
        <w:fldChar w:fldCharType="separate"/>
      </w:r>
      <w:r>
        <w:t>V</w:t>
      </w:r>
      <w:r>
        <w:t xml:space="preserve">. </w:t>
      </w:r>
      <w:r>
        <w:t>Краткая информация по заболеванию или состоянию (группе заболеваний или состояний)</w:t>
      </w:r>
      <w:r>
        <w:tab/>
      </w:r>
      <w:r>
        <w:fldChar w:fldCharType="begin"/>
      </w:r>
      <w:r>
        <w:instrText>PAGEREF __RefHeading___5 \h</w:instrText>
      </w:r>
      <w:r>
        <w:fldChar w:fldCharType="separate"/>
      </w:r>
      <w:r>
        <w:t>#</w:t>
      </w:r>
      <w:r>
        <w:fldChar w:fldCharType="end"/>
      </w:r>
      <w:r>
        <w:fldChar w:fldCharType="end"/>
      </w:r>
    </w:p>
    <w:p w14:paraId="1F000000">
      <w:pPr>
        <w:pStyle w:val="Style_10"/>
        <w:tabs>
          <w:tab w:leader="none" w:pos="9345" w:val="clear"/>
          <w:tab w:leader="dot" w:pos="9355" w:val="right"/>
        </w:tabs>
        <w:ind/>
      </w:pPr>
      <w:r>
        <w:fldChar w:fldCharType="begin"/>
      </w:r>
      <w:r>
        <w:instrText>HYPERLINK \l "__RefHeading___6"</w:instrText>
      </w:r>
      <w:r>
        <w:fldChar w:fldCharType="separate"/>
      </w:r>
      <w:r>
        <w:t>5.</w:t>
      </w:r>
      <w:r>
        <w:t>1. Определение</w:t>
      </w:r>
      <w:r>
        <w:tab/>
      </w:r>
      <w:r>
        <w:fldChar w:fldCharType="begin"/>
      </w:r>
      <w:r>
        <w:instrText>PAGEREF __RefHeading___6 \h</w:instrText>
      </w:r>
      <w:r>
        <w:fldChar w:fldCharType="separate"/>
      </w:r>
      <w:r>
        <w:t>#</w:t>
      </w:r>
      <w:r>
        <w:fldChar w:fldCharType="end"/>
      </w:r>
      <w:r>
        <w:fldChar w:fldCharType="end"/>
      </w:r>
    </w:p>
    <w:p w14:paraId="20000000">
      <w:pPr>
        <w:pStyle w:val="Style_10"/>
        <w:tabs>
          <w:tab w:leader="none" w:pos="9345" w:val="clear"/>
          <w:tab w:leader="dot" w:pos="9355" w:val="right"/>
        </w:tabs>
        <w:ind/>
      </w:pPr>
      <w:r>
        <w:fldChar w:fldCharType="begin"/>
      </w:r>
      <w:r>
        <w:instrText>HYPERLINK \l "__RefHeading___7"</w:instrText>
      </w:r>
      <w:r>
        <w:fldChar w:fldCharType="separate"/>
      </w:r>
      <w:r>
        <w:t>5.</w:t>
      </w:r>
      <w:r>
        <w:t>2</w:t>
      </w:r>
      <w:r>
        <w:t>.</w:t>
      </w:r>
      <w:r>
        <w:t xml:space="preserve"> Этиология и патогенез</w:t>
      </w:r>
      <w:r>
        <w:tab/>
      </w:r>
      <w:r>
        <w:fldChar w:fldCharType="begin"/>
      </w:r>
      <w:r>
        <w:instrText>PAGEREF __RefHeading___7 \h</w:instrText>
      </w:r>
      <w:r>
        <w:fldChar w:fldCharType="separate"/>
      </w:r>
      <w:r>
        <w:t>#</w:t>
      </w:r>
      <w:r>
        <w:fldChar w:fldCharType="end"/>
      </w:r>
      <w:r>
        <w:fldChar w:fldCharType="end"/>
      </w:r>
    </w:p>
    <w:p w14:paraId="21000000">
      <w:pPr>
        <w:pStyle w:val="Style_10"/>
        <w:tabs>
          <w:tab w:leader="none" w:pos="9345" w:val="clear"/>
          <w:tab w:leader="dot" w:pos="9355" w:val="right"/>
        </w:tabs>
        <w:ind/>
      </w:pPr>
      <w:r>
        <w:fldChar w:fldCharType="begin"/>
      </w:r>
      <w:r>
        <w:instrText>HYPERLINK \l "__RefHeading___8"</w:instrText>
      </w:r>
      <w:r>
        <w:fldChar w:fldCharType="separate"/>
      </w:r>
      <w:r>
        <w:t>5.</w:t>
      </w:r>
      <w:r>
        <w:t>3</w:t>
      </w:r>
      <w:r>
        <w:t>.</w:t>
      </w:r>
      <w:r>
        <w:t xml:space="preserve"> Эпидемиология</w:t>
      </w:r>
      <w:r>
        <w:tab/>
      </w:r>
      <w:r>
        <w:fldChar w:fldCharType="begin"/>
      </w:r>
      <w:r>
        <w:instrText>PAGEREF __RefHeading___8 \h</w:instrText>
      </w:r>
      <w:r>
        <w:fldChar w:fldCharType="separate"/>
      </w:r>
      <w:r>
        <w:t>#</w:t>
      </w:r>
      <w:r>
        <w:fldChar w:fldCharType="end"/>
      </w:r>
      <w:r>
        <w:fldChar w:fldCharType="end"/>
      </w:r>
    </w:p>
    <w:p w14:paraId="22000000">
      <w:pPr>
        <w:pStyle w:val="Style_10"/>
        <w:tabs>
          <w:tab w:leader="none" w:pos="9345" w:val="clear"/>
          <w:tab w:leader="dot" w:pos="9355" w:val="right"/>
        </w:tabs>
        <w:ind/>
      </w:pPr>
      <w:r>
        <w:fldChar w:fldCharType="begin"/>
      </w:r>
      <w:r>
        <w:instrText>HYPERLINK \l "__RefHeading___9"</w:instrText>
      </w:r>
      <w:r>
        <w:fldChar w:fldCharType="separate"/>
      </w:r>
      <w:r>
        <w:t>5.</w:t>
      </w:r>
      <w:r>
        <w:t>4</w:t>
      </w:r>
      <w:r>
        <w:t xml:space="preserve">. </w:t>
      </w:r>
      <w:r>
        <w:t>Особенности</w:t>
      </w:r>
      <w:r>
        <w:t xml:space="preserve"> </w:t>
      </w:r>
      <w:r>
        <w:t>к</w:t>
      </w:r>
      <w:r>
        <w:t>одировани</w:t>
      </w:r>
      <w:r>
        <w:t>я</w:t>
      </w:r>
      <w:r>
        <w:t xml:space="preserve"> по МКБ 10</w:t>
      </w:r>
      <w:r>
        <w:tab/>
      </w:r>
      <w:r>
        <w:fldChar w:fldCharType="begin"/>
      </w:r>
      <w:r>
        <w:instrText>PAGEREF __RefHeading___9 \h</w:instrText>
      </w:r>
      <w:r>
        <w:fldChar w:fldCharType="separate"/>
      </w:r>
      <w:r>
        <w:t>#</w:t>
      </w:r>
      <w:r>
        <w:fldChar w:fldCharType="end"/>
      </w:r>
      <w:r>
        <w:fldChar w:fldCharType="end"/>
      </w:r>
    </w:p>
    <w:p w14:paraId="23000000">
      <w:pPr>
        <w:pStyle w:val="Style_10"/>
        <w:tabs>
          <w:tab w:leader="none" w:pos="9345" w:val="clear"/>
          <w:tab w:leader="dot" w:pos="9355" w:val="right"/>
        </w:tabs>
        <w:ind/>
      </w:pPr>
      <w:r>
        <w:fldChar w:fldCharType="begin"/>
      </w:r>
      <w:r>
        <w:instrText>HYPERLINK \l "__RefHeading___10"</w:instrText>
      </w:r>
      <w:r>
        <w:fldChar w:fldCharType="separate"/>
      </w:r>
      <w:r>
        <w:t>5</w:t>
      </w:r>
      <w:r>
        <w:t>.</w:t>
      </w:r>
      <w:r>
        <w:t>5</w:t>
      </w:r>
      <w:r>
        <w:t xml:space="preserve"> Классификация</w:t>
      </w:r>
      <w:r>
        <w:tab/>
      </w:r>
      <w:r>
        <w:fldChar w:fldCharType="begin"/>
      </w:r>
      <w:r>
        <w:instrText>PAGEREF __RefHeading___10 \h</w:instrText>
      </w:r>
      <w:r>
        <w:fldChar w:fldCharType="separate"/>
      </w:r>
      <w:r>
        <w:t>#</w:t>
      </w:r>
      <w:r>
        <w:fldChar w:fldCharType="end"/>
      </w:r>
      <w:r>
        <w:fldChar w:fldCharType="end"/>
      </w:r>
    </w:p>
    <w:p w14:paraId="24000000">
      <w:pPr>
        <w:pStyle w:val="Style_10"/>
        <w:tabs>
          <w:tab w:leader="none" w:pos="9345" w:val="clear"/>
          <w:tab w:leader="dot" w:pos="9355" w:val="right"/>
        </w:tabs>
        <w:ind/>
      </w:pPr>
      <w:r>
        <w:fldChar w:fldCharType="begin"/>
      </w:r>
      <w:r>
        <w:instrText>HYPERLINK \l "__RefHeading___11"</w:instrText>
      </w:r>
      <w:r>
        <w:fldChar w:fldCharType="separate"/>
      </w:r>
      <w:r>
        <w:t>5.</w:t>
      </w:r>
      <w:r>
        <w:t>6</w:t>
      </w:r>
      <w:r>
        <w:t>.</w:t>
      </w:r>
      <w:r>
        <w:t xml:space="preserve"> Клиническая картина</w:t>
      </w:r>
      <w:r>
        <w:tab/>
      </w:r>
      <w:r>
        <w:fldChar w:fldCharType="begin"/>
      </w:r>
      <w:r>
        <w:instrText>PAGEREF __RefHeading___11 \h</w:instrText>
      </w:r>
      <w:r>
        <w:fldChar w:fldCharType="separate"/>
      </w:r>
      <w:r>
        <w:t>#</w:t>
      </w:r>
      <w:r>
        <w:fldChar w:fldCharType="end"/>
      </w:r>
      <w:r>
        <w:fldChar w:fldCharType="end"/>
      </w:r>
    </w:p>
    <w:p w14:paraId="25000000">
      <w:pPr>
        <w:pStyle w:val="Style_9"/>
        <w:tabs>
          <w:tab w:leader="none" w:pos="9355" w:val="clear"/>
          <w:tab w:leader="dot" w:pos="9355" w:val="right"/>
        </w:tabs>
        <w:ind/>
      </w:pPr>
      <w:r>
        <w:fldChar w:fldCharType="begin"/>
      </w:r>
      <w:r>
        <w:instrText>HYPERLINK \l "__RefHeading___12"</w:instrText>
      </w:r>
      <w:r>
        <w:fldChar w:fldCharType="separate"/>
      </w:r>
      <w:r>
        <w:t>VI</w:t>
      </w:r>
      <w:r>
        <w:t xml:space="preserve">. </w:t>
      </w:r>
      <w:r>
        <w:t>Диагностика</w:t>
      </w:r>
      <w:r>
        <w:t xml:space="preserve"> </w:t>
      </w:r>
      <w:r>
        <w:t>заболевания</w:t>
      </w:r>
      <w:r>
        <w:t>,</w:t>
      </w:r>
      <w:r>
        <w:t xml:space="preserve"> </w:t>
      </w:r>
      <w:r>
        <w:t>медицинские показания и противопоказания к применению методов диагностики</w:t>
      </w:r>
      <w:r>
        <w:tab/>
      </w:r>
      <w:r>
        <w:fldChar w:fldCharType="begin"/>
      </w:r>
      <w:r>
        <w:instrText>PAGEREF __RefHeading___12 \h</w:instrText>
      </w:r>
      <w:r>
        <w:fldChar w:fldCharType="separate"/>
      </w:r>
      <w:r>
        <w:t>#</w:t>
      </w:r>
      <w:r>
        <w:fldChar w:fldCharType="end"/>
      </w:r>
      <w:r>
        <w:fldChar w:fldCharType="end"/>
      </w:r>
    </w:p>
    <w:p w14:paraId="26000000">
      <w:pPr>
        <w:pStyle w:val="Style_10"/>
        <w:tabs>
          <w:tab w:leader="none" w:pos="9345" w:val="clear"/>
          <w:tab w:leader="dot" w:pos="9355" w:val="right"/>
        </w:tabs>
        <w:ind/>
      </w:pPr>
      <w:r>
        <w:fldChar w:fldCharType="begin"/>
      </w:r>
      <w:r>
        <w:instrText>HYPERLINK \l "__RefHeading___13"</w:instrText>
      </w:r>
      <w:r>
        <w:fldChar w:fldCharType="separate"/>
      </w:r>
      <w:r>
        <w:t>6.</w:t>
      </w:r>
      <w:r>
        <w:t>1</w:t>
      </w:r>
      <w:r>
        <w:t>.</w:t>
      </w:r>
      <w:r>
        <w:t xml:space="preserve"> Жалобы и анамнез</w:t>
      </w:r>
      <w:r>
        <w:tab/>
      </w:r>
      <w:r>
        <w:fldChar w:fldCharType="begin"/>
      </w:r>
      <w:r>
        <w:instrText>PAGEREF __RefHeading___13 \h</w:instrText>
      </w:r>
      <w:r>
        <w:fldChar w:fldCharType="separate"/>
      </w:r>
      <w:r>
        <w:t>#</w:t>
      </w:r>
      <w:r>
        <w:fldChar w:fldCharType="end"/>
      </w:r>
      <w:r>
        <w:fldChar w:fldCharType="end"/>
      </w:r>
    </w:p>
    <w:p w14:paraId="27000000">
      <w:pPr>
        <w:pStyle w:val="Style_10"/>
        <w:tabs>
          <w:tab w:leader="none" w:pos="9345" w:val="clear"/>
          <w:tab w:leader="dot" w:pos="9355" w:val="right"/>
        </w:tabs>
        <w:ind/>
      </w:pPr>
      <w:r>
        <w:fldChar w:fldCharType="begin"/>
      </w:r>
      <w:r>
        <w:instrText>HYPERLINK \l "__RefHeading___14"</w:instrText>
      </w:r>
      <w:r>
        <w:fldChar w:fldCharType="separate"/>
      </w:r>
      <w:r>
        <w:t>6.</w:t>
      </w:r>
      <w:r>
        <w:t>2.</w:t>
      </w:r>
      <w:r>
        <w:t>Физикальное</w:t>
      </w:r>
      <w:r>
        <w:t xml:space="preserve"> обследование</w:t>
      </w:r>
      <w:r>
        <w:t>.</w:t>
      </w:r>
      <w:r>
        <w:tab/>
      </w:r>
      <w:r>
        <w:fldChar w:fldCharType="begin"/>
      </w:r>
      <w:r>
        <w:instrText>PAGEREF __RefHeading___14 \h</w:instrText>
      </w:r>
      <w:r>
        <w:fldChar w:fldCharType="separate"/>
      </w:r>
      <w:r>
        <w:t>#</w:t>
      </w:r>
      <w:r>
        <w:fldChar w:fldCharType="end"/>
      </w:r>
      <w:r>
        <w:fldChar w:fldCharType="end"/>
      </w:r>
    </w:p>
    <w:p w14:paraId="28000000">
      <w:pPr>
        <w:pStyle w:val="Style_10"/>
        <w:tabs>
          <w:tab w:leader="none" w:pos="9345" w:val="clear"/>
          <w:tab w:leader="dot" w:pos="9355" w:val="right"/>
        </w:tabs>
        <w:ind/>
      </w:pPr>
      <w:r>
        <w:fldChar w:fldCharType="begin"/>
      </w:r>
      <w:r>
        <w:instrText>HYPERLINK \l "__RefHeading___15"</w:instrText>
      </w:r>
      <w:r>
        <w:fldChar w:fldCharType="separate"/>
      </w:r>
      <w:r>
        <w:t>Медицинские услуги для физикального обследования в соответствии с номенклатурой медицинских услуг представлены в Приложении Г (табл. 1).</w:t>
      </w:r>
      <w:r>
        <w:tab/>
      </w:r>
      <w:r>
        <w:fldChar w:fldCharType="begin"/>
      </w:r>
      <w:r>
        <w:instrText>PAGEREF __RefHeading___15 \h</w:instrText>
      </w:r>
      <w:r>
        <w:fldChar w:fldCharType="separate"/>
      </w:r>
      <w:r>
        <w:t>#</w:t>
      </w:r>
      <w:r>
        <w:fldChar w:fldCharType="end"/>
      </w:r>
      <w:r>
        <w:fldChar w:fldCharType="end"/>
      </w:r>
    </w:p>
    <w:p w14:paraId="29000000">
      <w:pPr>
        <w:pStyle w:val="Style_10"/>
        <w:tabs>
          <w:tab w:leader="none" w:pos="9345" w:val="clear"/>
          <w:tab w:leader="dot" w:pos="9355" w:val="right"/>
        </w:tabs>
        <w:ind/>
      </w:pPr>
      <w:r>
        <w:fldChar w:fldCharType="begin"/>
      </w:r>
      <w:r>
        <w:instrText>HYPERLINK \l "__RefHeading___16"</w:instrText>
      </w:r>
      <w:r>
        <w:fldChar w:fldCharType="separate"/>
      </w:r>
      <w:r>
        <w:t>6.</w:t>
      </w:r>
      <w:r>
        <w:t>3. Лабораторные диагностические исследования</w:t>
      </w:r>
      <w:r>
        <w:tab/>
      </w:r>
      <w:r>
        <w:fldChar w:fldCharType="begin"/>
      </w:r>
      <w:r>
        <w:instrText>PAGEREF __RefHeading___16 \h</w:instrText>
      </w:r>
      <w:r>
        <w:fldChar w:fldCharType="separate"/>
      </w:r>
      <w:r>
        <w:t>#</w:t>
      </w:r>
      <w:r>
        <w:fldChar w:fldCharType="end"/>
      </w:r>
      <w:r>
        <w:fldChar w:fldCharType="end"/>
      </w:r>
    </w:p>
    <w:p w14:paraId="2A000000">
      <w:pPr>
        <w:pStyle w:val="Style_10"/>
        <w:tabs>
          <w:tab w:leader="none" w:pos="9345" w:val="clear"/>
          <w:tab w:leader="dot" w:pos="9355" w:val="right"/>
        </w:tabs>
        <w:ind/>
      </w:pPr>
      <w:r>
        <w:fldChar w:fldCharType="begin"/>
      </w:r>
      <w:r>
        <w:instrText>HYPERLINK \l "__RefHeading___17"</w:instrText>
      </w:r>
      <w:r>
        <w:fldChar w:fldCharType="separate"/>
      </w:r>
      <w:r>
        <w:t>Рекомендуется у отдельных пациентов для оценки индивидуального риска возникновения КЗ</w:t>
      </w:r>
      <w:r>
        <w:t xml:space="preserve"> </w:t>
      </w:r>
      <w:r>
        <w:t>.</w:t>
      </w:r>
      <w:r>
        <w:tab/>
      </w:r>
      <w:r>
        <w:fldChar w:fldCharType="begin"/>
      </w:r>
      <w:r>
        <w:instrText>PAGEREF __RefHeading___17 \h</w:instrText>
      </w:r>
      <w:r>
        <w:fldChar w:fldCharType="separate"/>
      </w:r>
      <w:r>
        <w:t>#</w:t>
      </w:r>
      <w:r>
        <w:fldChar w:fldCharType="end"/>
      </w:r>
      <w:r>
        <w:fldChar w:fldCharType="end"/>
      </w:r>
    </w:p>
    <w:p w14:paraId="2B000000">
      <w:pPr>
        <w:pStyle w:val="Style_10"/>
        <w:tabs>
          <w:tab w:leader="none" w:pos="9345" w:val="clear"/>
          <w:tab w:leader="dot" w:pos="9355" w:val="right"/>
        </w:tabs>
        <w:ind/>
      </w:pPr>
      <w:r>
        <w:fldChar w:fldCharType="begin"/>
      </w:r>
      <w:r>
        <w:instrText>HYPERLINK \l "__RefHeading___18"</w:instrText>
      </w:r>
      <w:r>
        <w:fldChar w:fldCharType="separate"/>
      </w:r>
      <w:r>
        <w:t>5</w:t>
      </w:r>
      <w:r>
        <w:t>.</w:t>
      </w:r>
      <w:r>
        <w:t xml:space="preserve"> Иная диагностика</w:t>
      </w:r>
      <w:r>
        <w:tab/>
      </w:r>
      <w:r>
        <w:fldChar w:fldCharType="begin"/>
      </w:r>
      <w:r>
        <w:instrText>PAGEREF __RefHeading___18 \h</w:instrText>
      </w:r>
      <w:r>
        <w:fldChar w:fldCharType="separate"/>
      </w:r>
      <w:r>
        <w:t>#</w:t>
      </w:r>
      <w:r>
        <w:fldChar w:fldCharType="end"/>
      </w:r>
      <w:r>
        <w:fldChar w:fldCharType="end"/>
      </w:r>
    </w:p>
    <w:p w14:paraId="2C000000">
      <w:pPr>
        <w:pStyle w:val="Style_9"/>
        <w:tabs>
          <w:tab w:leader="none" w:pos="9355" w:val="clear"/>
          <w:tab w:leader="dot" w:pos="9355" w:val="right"/>
        </w:tabs>
        <w:ind/>
      </w:pPr>
      <w:r>
        <w:fldChar w:fldCharType="begin"/>
      </w:r>
      <w:r>
        <w:instrText>HYPERLINK \l "__RefHeading___19"</w:instrText>
      </w:r>
      <w:r>
        <w:fldChar w:fldCharType="separate"/>
      </w:r>
      <w:r>
        <w:t>VII</w:t>
      </w:r>
      <w:r>
        <w:t xml:space="preserve">. </w:t>
      </w:r>
      <w: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r>
        <w:tab/>
      </w:r>
      <w:r>
        <w:fldChar w:fldCharType="begin"/>
      </w:r>
      <w:r>
        <w:instrText>PAGEREF __RefHeading___19 \h</w:instrText>
      </w:r>
      <w:r>
        <w:fldChar w:fldCharType="separate"/>
      </w:r>
      <w:r>
        <w:t>#</w:t>
      </w:r>
      <w:r>
        <w:fldChar w:fldCharType="end"/>
      </w:r>
      <w:r>
        <w:fldChar w:fldCharType="end"/>
      </w:r>
    </w:p>
    <w:p w14:paraId="2D000000">
      <w:pPr>
        <w:pStyle w:val="Style_10"/>
        <w:tabs>
          <w:tab w:leader="none" w:pos="9345" w:val="clear"/>
          <w:tab w:leader="dot" w:pos="9355" w:val="right"/>
        </w:tabs>
        <w:ind/>
      </w:pPr>
      <w:r>
        <w:fldChar w:fldCharType="begin"/>
      </w:r>
      <w:r>
        <w:instrText>HYPERLINK \l "__RefHeading___20"</w:instrText>
      </w:r>
      <w:r>
        <w:fldChar w:fldCharType="separate"/>
      </w:r>
      <w:r>
        <w:t>7.</w:t>
      </w:r>
      <w:r>
        <w:t>1. Общие подходы к лечению кариеса</w:t>
      </w:r>
      <w:r>
        <w:t xml:space="preserve"> зубов</w:t>
      </w:r>
      <w:r>
        <w:tab/>
      </w:r>
      <w:r>
        <w:fldChar w:fldCharType="begin"/>
      </w:r>
      <w:r>
        <w:instrText>PAGEREF __RefHeading___20 \h</w:instrText>
      </w:r>
      <w:r>
        <w:fldChar w:fldCharType="separate"/>
      </w:r>
      <w:r>
        <w:t>#</w:t>
      </w:r>
      <w:r>
        <w:fldChar w:fldCharType="end"/>
      </w:r>
      <w:r>
        <w:fldChar w:fldCharType="end"/>
      </w:r>
    </w:p>
    <w:p w14:paraId="2E000000">
      <w:pPr>
        <w:pStyle w:val="Style_10"/>
        <w:tabs>
          <w:tab w:leader="none" w:pos="9345" w:val="clear"/>
          <w:tab w:leader="dot" w:pos="9355" w:val="right"/>
        </w:tabs>
        <w:ind/>
      </w:pPr>
      <w:r>
        <w:fldChar w:fldCharType="begin"/>
      </w:r>
      <w:r>
        <w:instrText>HYPERLINK \l "__RefHeading___21"</w:instrText>
      </w:r>
      <w:r>
        <w:fldChar w:fldCharType="separate"/>
      </w:r>
      <w:r>
        <w:t>7.2</w:t>
      </w:r>
      <w:r>
        <w:t>. Консервативное лечение кариеса зубов</w:t>
      </w:r>
      <w:r>
        <w:tab/>
      </w:r>
      <w:r>
        <w:fldChar w:fldCharType="begin"/>
      </w:r>
      <w:r>
        <w:instrText>PAGEREF __RefHeading___21 \h</w:instrText>
      </w:r>
      <w:r>
        <w:fldChar w:fldCharType="separate"/>
      </w:r>
      <w:r>
        <w:t>#</w:t>
      </w:r>
      <w:r>
        <w:fldChar w:fldCharType="end"/>
      </w:r>
      <w:r>
        <w:fldChar w:fldCharType="end"/>
      </w:r>
    </w:p>
    <w:p w14:paraId="2F000000">
      <w:pPr>
        <w:pStyle w:val="Style_10"/>
        <w:tabs>
          <w:tab w:leader="none" w:pos="9345" w:val="clear"/>
          <w:tab w:leader="dot" w:pos="9355" w:val="right"/>
        </w:tabs>
        <w:ind/>
      </w:pPr>
      <w:r>
        <w:fldChar w:fldCharType="begin"/>
      </w:r>
      <w:r>
        <w:instrText>HYPERLINK \l "__RefHeading___22"</w:instrText>
      </w:r>
      <w:r>
        <w:fldChar w:fldCharType="separate"/>
      </w:r>
      <w:r>
        <w:t>2.1</w:t>
      </w:r>
      <w:r>
        <w:t xml:space="preserve">. Лечение </w:t>
      </w:r>
      <w:r>
        <w:t xml:space="preserve">пациентов с </w:t>
      </w:r>
      <w:r>
        <w:t>кариес</w:t>
      </w:r>
      <w:r>
        <w:t>ом</w:t>
      </w:r>
      <w:r>
        <w:t xml:space="preserve"> эмали</w:t>
      </w:r>
      <w:r>
        <w:t xml:space="preserve"> (К02.0)</w:t>
      </w:r>
      <w:r>
        <w:tab/>
      </w:r>
      <w:r>
        <w:fldChar w:fldCharType="begin"/>
      </w:r>
      <w:r>
        <w:instrText>PAGEREF __RefHeading___22 \h</w:instrText>
      </w:r>
      <w:r>
        <w:fldChar w:fldCharType="separate"/>
      </w:r>
      <w:r>
        <w:t>#</w:t>
      </w:r>
      <w:r>
        <w:fldChar w:fldCharType="end"/>
      </w:r>
      <w:r>
        <w:fldChar w:fldCharType="end"/>
      </w:r>
    </w:p>
    <w:p w14:paraId="30000000">
      <w:pPr>
        <w:pStyle w:val="Style_10"/>
        <w:tabs>
          <w:tab w:leader="none" w:pos="9345" w:val="clear"/>
          <w:tab w:leader="dot" w:pos="9355" w:val="right"/>
        </w:tabs>
        <w:ind/>
      </w:pPr>
      <w:r>
        <w:fldChar w:fldCharType="begin"/>
      </w:r>
      <w:r>
        <w:instrText>HYPERLINK \l "__RefHeading___23"</w:instrText>
      </w:r>
      <w:r>
        <w:fldChar w:fldCharType="separate"/>
      </w:r>
      <w:r>
        <w:t xml:space="preserve">2.2. Лечение </w:t>
      </w:r>
      <w:r>
        <w:t xml:space="preserve">пациентов с </w:t>
      </w:r>
      <w:r>
        <w:t>приостановивш</w:t>
      </w:r>
      <w:r>
        <w:t>имся</w:t>
      </w:r>
      <w:r>
        <w:t xml:space="preserve"> кариес</w:t>
      </w:r>
      <w:r>
        <w:t>ом</w:t>
      </w:r>
      <w:r>
        <w:t xml:space="preserve"> зубов</w:t>
      </w:r>
      <w:r>
        <w:t xml:space="preserve"> </w:t>
      </w:r>
      <w:r>
        <w:t>(К02.3)</w:t>
      </w:r>
      <w:r>
        <w:tab/>
      </w:r>
      <w:r>
        <w:fldChar w:fldCharType="begin"/>
      </w:r>
      <w:r>
        <w:instrText>PAGEREF __RefHeading___23 \h</w:instrText>
      </w:r>
      <w:r>
        <w:fldChar w:fldCharType="separate"/>
      </w:r>
      <w:r>
        <w:t>#</w:t>
      </w:r>
      <w:r>
        <w:fldChar w:fldCharType="end"/>
      </w:r>
      <w:r>
        <w:fldChar w:fldCharType="end"/>
      </w:r>
    </w:p>
    <w:p w14:paraId="31000000">
      <w:pPr>
        <w:pStyle w:val="Style_10"/>
        <w:tabs>
          <w:tab w:leader="none" w:pos="9345" w:val="clear"/>
          <w:tab w:leader="dot" w:pos="9355" w:val="right"/>
        </w:tabs>
        <w:ind/>
      </w:pPr>
      <w:r>
        <w:fldChar w:fldCharType="begin"/>
      </w:r>
      <w:r>
        <w:instrText>HYPERLINK \l "__RefHeading___24"</w:instrText>
      </w:r>
      <w:r>
        <w:fldChar w:fldCharType="separate"/>
      </w:r>
      <w:r>
        <w:t>3. Оперативно-восстановительное (инвазивное, хирургическое) лечение кариеса зубов</w:t>
      </w:r>
      <w:r>
        <w:tab/>
      </w:r>
      <w:r>
        <w:fldChar w:fldCharType="begin"/>
      </w:r>
      <w:r>
        <w:instrText>PAGEREF __RefHeading___24 \h</w:instrText>
      </w:r>
      <w:r>
        <w:fldChar w:fldCharType="separate"/>
      </w:r>
      <w:r>
        <w:t>#</w:t>
      </w:r>
      <w:r>
        <w:fldChar w:fldCharType="end"/>
      </w:r>
      <w:r>
        <w:fldChar w:fldCharType="end"/>
      </w:r>
    </w:p>
    <w:p w14:paraId="32000000">
      <w:pPr>
        <w:pStyle w:val="Style_10"/>
        <w:tabs>
          <w:tab w:leader="none" w:pos="9345" w:val="clear"/>
          <w:tab w:leader="dot" w:pos="9355" w:val="right"/>
        </w:tabs>
        <w:ind/>
      </w:pPr>
      <w:r>
        <w:fldChar w:fldCharType="begin"/>
      </w:r>
      <w:r>
        <w:instrText>HYPERLINK \l "__RefHeading___25"</w:instrText>
      </w:r>
      <w:r>
        <w:fldChar w:fldCharType="separate"/>
      </w:r>
      <w:r>
        <w:t xml:space="preserve">3.1. </w:t>
      </w:r>
      <w:r>
        <w:t>Оперативно-восстановительное л</w:t>
      </w:r>
      <w:r>
        <w:t>ечение пациентов с кариесом дентина</w:t>
      </w:r>
      <w:r>
        <w:t xml:space="preserve"> и цемента</w:t>
      </w:r>
      <w:r>
        <w:tab/>
      </w:r>
      <w:r>
        <w:fldChar w:fldCharType="begin"/>
      </w:r>
      <w:r>
        <w:instrText>PAGEREF __RefHeading___25 \h</w:instrText>
      </w:r>
      <w:r>
        <w:fldChar w:fldCharType="separate"/>
      </w:r>
      <w:r>
        <w:t>#</w:t>
      </w:r>
      <w:r>
        <w:fldChar w:fldCharType="end"/>
      </w:r>
      <w:r>
        <w:fldChar w:fldCharType="end"/>
      </w:r>
    </w:p>
    <w:p w14:paraId="33000000">
      <w:pPr>
        <w:pStyle w:val="Style_10"/>
        <w:tabs>
          <w:tab w:leader="none" w:pos="9345" w:val="clear"/>
          <w:tab w:leader="dot" w:pos="9355" w:val="right"/>
        </w:tabs>
        <w:ind/>
      </w:pPr>
      <w:r>
        <w:fldChar w:fldCharType="begin"/>
      </w:r>
      <w:r>
        <w:instrText>HYPERLINK \l "__RefHeading___26"</w:instrText>
      </w:r>
      <w:r>
        <w:fldChar w:fldCharType="separate"/>
      </w:r>
      <w:r>
        <w:t>3.3. Методики препарирования кариозных полостей: условия проведения, особенности выбора</w:t>
      </w:r>
      <w:r>
        <w:tab/>
      </w:r>
      <w:r>
        <w:fldChar w:fldCharType="begin"/>
      </w:r>
      <w:r>
        <w:instrText>PAGEREF __RefHeading___26 \h</w:instrText>
      </w:r>
      <w:r>
        <w:fldChar w:fldCharType="separate"/>
      </w:r>
      <w:r>
        <w:t>#</w:t>
      </w:r>
      <w:r>
        <w:fldChar w:fldCharType="end"/>
      </w:r>
      <w:r>
        <w:fldChar w:fldCharType="end"/>
      </w:r>
    </w:p>
    <w:p w14:paraId="34000000">
      <w:pPr>
        <w:pStyle w:val="Style_10"/>
        <w:tabs>
          <w:tab w:leader="none" w:pos="9345" w:val="clear"/>
          <w:tab w:leader="dot" w:pos="9355" w:val="right"/>
        </w:tabs>
        <w:ind/>
      </w:pPr>
      <w:r>
        <w:fldChar w:fldCharType="begin"/>
      </w:r>
      <w:r>
        <w:instrText>HYPERLINK \l "__RefHeading___27"</w:instrText>
      </w:r>
      <w:r>
        <w:fldChar w:fldCharType="separate"/>
      </w:r>
      <w:r>
        <w:t>3.</w:t>
      </w:r>
      <w:r>
        <w:t>4</w:t>
      </w:r>
      <w:r>
        <w:t xml:space="preserve"> Лечение пациентов с</w:t>
      </w:r>
      <w:r>
        <w:t xml:space="preserve"> </w:t>
      </w:r>
      <w:r>
        <w:t>диагнозом «К</w:t>
      </w:r>
      <w:r>
        <w:t>ариес с обнажением пульпы (К02.5)</w:t>
      </w:r>
      <w:r>
        <w:t>»</w:t>
      </w:r>
      <w:r>
        <w:tab/>
      </w:r>
      <w:r>
        <w:fldChar w:fldCharType="begin"/>
      </w:r>
      <w:r>
        <w:instrText>PAGEREF __RefHeading___27 \h</w:instrText>
      </w:r>
      <w:r>
        <w:fldChar w:fldCharType="separate"/>
      </w:r>
      <w:r>
        <w:t>#</w:t>
      </w:r>
      <w:r>
        <w:fldChar w:fldCharType="end"/>
      </w:r>
      <w:r>
        <w:fldChar w:fldCharType="end"/>
      </w:r>
    </w:p>
    <w:p w14:paraId="35000000">
      <w:pPr>
        <w:pStyle w:val="Style_10"/>
        <w:tabs>
          <w:tab w:leader="none" w:pos="9345" w:val="clear"/>
          <w:tab w:leader="dot" w:pos="9355" w:val="right"/>
        </w:tabs>
        <w:ind/>
      </w:pPr>
      <w:r>
        <w:fldChar w:fldCharType="begin"/>
      </w:r>
      <w:r>
        <w:instrText>HYPERLINK \l "__RefHeading___28"</w:instrText>
      </w:r>
      <w:r>
        <w:fldChar w:fldCharType="separate"/>
      </w:r>
      <w:r>
        <w:t xml:space="preserve">3.4 Иное </w:t>
      </w:r>
      <w:r>
        <w:t>л</w:t>
      </w:r>
      <w:r>
        <w:t>ечение</w:t>
      </w:r>
      <w:r>
        <w:tab/>
      </w:r>
      <w:r>
        <w:fldChar w:fldCharType="begin"/>
      </w:r>
      <w:r>
        <w:instrText>PAGEREF __RefHeading___28 \h</w:instrText>
      </w:r>
      <w:r>
        <w:fldChar w:fldCharType="separate"/>
      </w:r>
      <w:r>
        <w:t>#</w:t>
      </w:r>
      <w:r>
        <w:fldChar w:fldCharType="end"/>
      </w:r>
      <w:r>
        <w:fldChar w:fldCharType="end"/>
      </w:r>
    </w:p>
    <w:p w14:paraId="36000000">
      <w:pPr>
        <w:pStyle w:val="Style_9"/>
        <w:tabs>
          <w:tab w:leader="none" w:pos="9355" w:val="clear"/>
          <w:tab w:leader="dot" w:pos="9355" w:val="right"/>
        </w:tabs>
        <w:ind/>
      </w:pPr>
      <w:r>
        <w:fldChar w:fldCharType="begin"/>
      </w:r>
      <w:r>
        <w:instrText>HYPERLINK \l "__RefHeading___29"</w:instrText>
      </w:r>
      <w:r>
        <w:fldChar w:fldCharType="separate"/>
      </w:r>
      <w:r>
        <w:t>VIII</w:t>
      </w:r>
      <w:r>
        <w:t xml:space="preserve">. </w:t>
      </w:r>
      <w:r>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r>
        <w:tab/>
      </w:r>
      <w:r>
        <w:fldChar w:fldCharType="begin"/>
      </w:r>
      <w:r>
        <w:instrText>PAGEREF __RefHeading___29 \h</w:instrText>
      </w:r>
      <w:r>
        <w:fldChar w:fldCharType="separate"/>
      </w:r>
      <w:r>
        <w:t>#</w:t>
      </w:r>
      <w:r>
        <w:fldChar w:fldCharType="end"/>
      </w:r>
      <w:r>
        <w:fldChar w:fldCharType="end"/>
      </w:r>
    </w:p>
    <w:p w14:paraId="37000000">
      <w:pPr>
        <w:pStyle w:val="Style_9"/>
        <w:tabs>
          <w:tab w:leader="none" w:pos="9355" w:val="clear"/>
          <w:tab w:leader="dot" w:pos="9355" w:val="right"/>
        </w:tabs>
        <w:ind/>
      </w:pPr>
      <w:r>
        <w:fldChar w:fldCharType="begin"/>
      </w:r>
      <w:r>
        <w:instrText>HYPERLINK \l "__RefHeading___30"</w:instrText>
      </w:r>
      <w:r>
        <w:fldChar w:fldCharType="separate"/>
      </w:r>
      <w:r>
        <w:t>Специфические реабилитационные мероприятия в отношении пациентов с заболеванием «</w:t>
      </w:r>
      <w:r>
        <w:t>К</w:t>
      </w:r>
      <w:r>
        <w:t>ариес зубов» не разработаны.</w:t>
      </w:r>
      <w:r>
        <w:tab/>
      </w:r>
      <w:r>
        <w:fldChar w:fldCharType="begin"/>
      </w:r>
      <w:r>
        <w:instrText>PAGEREF __RefHeading___30 \h</w:instrText>
      </w:r>
      <w:r>
        <w:fldChar w:fldCharType="separate"/>
      </w:r>
      <w:r>
        <w:t>#</w:t>
      </w:r>
      <w:r>
        <w:fldChar w:fldCharType="end"/>
      </w:r>
      <w:r>
        <w:fldChar w:fldCharType="end"/>
      </w:r>
    </w:p>
    <w:p w14:paraId="38000000">
      <w:pPr>
        <w:pStyle w:val="Style_9"/>
        <w:tabs>
          <w:tab w:leader="none" w:pos="9355" w:val="clear"/>
          <w:tab w:leader="dot" w:pos="9355" w:val="right"/>
        </w:tabs>
        <w:ind/>
      </w:pPr>
      <w:r>
        <w:fldChar w:fldCharType="begin"/>
      </w:r>
      <w:r>
        <w:instrText>HYPERLINK \l "__RefHeading___31"</w:instrText>
      </w:r>
      <w:r>
        <w:fldChar w:fldCharType="separate"/>
      </w:r>
      <w:r>
        <w:t>IX</w:t>
      </w:r>
      <w:r>
        <w:t>. Профилактика и диспансерное наблюдение медицинские показания и противопоказания к применению методов профилактики</w:t>
      </w:r>
      <w:r>
        <w:tab/>
      </w:r>
      <w:r>
        <w:fldChar w:fldCharType="begin"/>
      </w:r>
      <w:r>
        <w:instrText>PAGEREF __RefHeading___31 \h</w:instrText>
      </w:r>
      <w:r>
        <w:fldChar w:fldCharType="separate"/>
      </w:r>
      <w:r>
        <w:t>#</w:t>
      </w:r>
      <w:r>
        <w:fldChar w:fldCharType="end"/>
      </w:r>
      <w:r>
        <w:fldChar w:fldCharType="end"/>
      </w:r>
    </w:p>
    <w:p w14:paraId="39000000">
      <w:pPr>
        <w:pStyle w:val="Style_9"/>
        <w:tabs>
          <w:tab w:leader="none" w:pos="9355" w:val="clear"/>
          <w:tab w:leader="dot" w:pos="9355" w:val="right"/>
        </w:tabs>
        <w:ind/>
      </w:pPr>
      <w:r>
        <w:fldChar w:fldCharType="begin"/>
      </w:r>
      <w:r>
        <w:instrText>HYPERLINK \l "__RefHeading___32"</w:instrText>
      </w:r>
      <w:r>
        <w:fldChar w:fldCharType="separate"/>
      </w:r>
      <w:r>
        <w:t xml:space="preserve">Существуют следующие профилактические меры при </w:t>
      </w:r>
      <w:r>
        <w:t>КЗ</w:t>
      </w:r>
      <w:r>
        <w:t>: коммунальные и индивидуальные. Коммунальные методы осуществляются на уровне государства и включают частичное или тотальное фторирование воды, соли, молока [1, 261].</w:t>
      </w:r>
      <w:r>
        <w:tab/>
      </w:r>
      <w:r>
        <w:fldChar w:fldCharType="begin"/>
      </w:r>
      <w:r>
        <w:instrText>PAGEREF __RefHeading___32 \h</w:instrText>
      </w:r>
      <w:r>
        <w:fldChar w:fldCharType="separate"/>
      </w:r>
      <w:r>
        <w:t>#</w:t>
      </w:r>
      <w:r>
        <w:fldChar w:fldCharType="end"/>
      </w:r>
      <w:r>
        <w:fldChar w:fldCharType="end"/>
      </w:r>
    </w:p>
    <w:p w14:paraId="3A000000">
      <w:pPr>
        <w:pStyle w:val="Style_9"/>
        <w:tabs>
          <w:tab w:leader="none" w:pos="9355" w:val="clear"/>
          <w:tab w:leader="dot" w:pos="9355" w:val="right"/>
        </w:tabs>
        <w:ind/>
      </w:pPr>
      <w:r>
        <w:fldChar w:fldCharType="begin"/>
      </w:r>
      <w:r>
        <w:instrText>HYPERLINK \l "__RefHeading___33"</w:instrText>
      </w:r>
      <w:r>
        <w:fldChar w:fldCharType="separate"/>
      </w:r>
      <w:r>
        <w:t>X</w:t>
      </w:r>
      <w:r>
        <w:t xml:space="preserve">. </w:t>
      </w:r>
      <w:r>
        <w:t>Организация оказания медицинской помощи</w:t>
      </w:r>
      <w:r>
        <w:tab/>
      </w:r>
      <w:r>
        <w:fldChar w:fldCharType="begin"/>
      </w:r>
      <w:r>
        <w:instrText>PAGEREF __RefHeading___33 \h</w:instrText>
      </w:r>
      <w:r>
        <w:fldChar w:fldCharType="separate"/>
      </w:r>
      <w:r>
        <w:t>#</w:t>
      </w:r>
      <w:r>
        <w:fldChar w:fldCharType="end"/>
      </w:r>
      <w:r>
        <w:fldChar w:fldCharType="end"/>
      </w:r>
    </w:p>
    <w:p w14:paraId="3B000000">
      <w:pPr>
        <w:pStyle w:val="Style_9"/>
        <w:tabs>
          <w:tab w:leader="none" w:pos="9355" w:val="clear"/>
          <w:tab w:leader="dot" w:pos="9355" w:val="right"/>
        </w:tabs>
        <w:ind/>
      </w:pPr>
      <w:r>
        <w:fldChar w:fldCharType="begin"/>
      </w:r>
      <w:r>
        <w:instrText>HYPERLINK \l "__RefHeading___34"</w:instrText>
      </w:r>
      <w:r>
        <w:fldChar w:fldCharType="separate"/>
      </w:r>
      <w:r>
        <w:t>XI</w:t>
      </w:r>
      <w:r>
        <w:t>. Дополнительная информация, влияющая на течение и исход заболевания</w:t>
      </w:r>
      <w:r>
        <w:t xml:space="preserve"> или состояния)</w:t>
      </w:r>
      <w:r>
        <w:tab/>
      </w:r>
      <w:r>
        <w:fldChar w:fldCharType="begin"/>
      </w:r>
      <w:r>
        <w:instrText>PAGEREF __RefHeading___34 \h</w:instrText>
      </w:r>
      <w:r>
        <w:fldChar w:fldCharType="separate"/>
      </w:r>
      <w:r>
        <w:t>#</w:t>
      </w:r>
      <w:r>
        <w:fldChar w:fldCharType="end"/>
      </w:r>
      <w:r>
        <w:fldChar w:fldCharType="end"/>
      </w:r>
    </w:p>
    <w:p w14:paraId="3C000000">
      <w:pPr>
        <w:pStyle w:val="Style_9"/>
        <w:tabs>
          <w:tab w:leader="none" w:pos="9355" w:val="clear"/>
          <w:tab w:leader="dot" w:pos="9355" w:val="right"/>
        </w:tabs>
        <w:ind/>
      </w:pPr>
      <w:r>
        <w:fldChar w:fldCharType="begin"/>
      </w:r>
      <w:r>
        <w:instrText>HYPERLINK \l "__RefHeading___35"</w:instrText>
      </w:r>
      <w:r>
        <w:fldChar w:fldCharType="separate"/>
      </w:r>
      <w:r>
        <w:t>XII</w:t>
      </w:r>
      <w:r>
        <w:t>.</w:t>
      </w:r>
      <w:r>
        <w:t xml:space="preserve"> </w:t>
      </w:r>
      <w:r>
        <w:t>Критерии оценки качества медицинской помощи</w:t>
      </w:r>
      <w:r>
        <w:tab/>
      </w:r>
      <w:r>
        <w:fldChar w:fldCharType="begin"/>
      </w:r>
      <w:r>
        <w:instrText>PAGEREF __RefHeading___35 \h</w:instrText>
      </w:r>
      <w:r>
        <w:fldChar w:fldCharType="separate"/>
      </w:r>
      <w:r>
        <w:t>#</w:t>
      </w:r>
      <w:r>
        <w:fldChar w:fldCharType="end"/>
      </w:r>
      <w:r>
        <w:fldChar w:fldCharType="end"/>
      </w:r>
    </w:p>
    <w:p w14:paraId="3D000000">
      <w:pPr>
        <w:pStyle w:val="Style_9"/>
        <w:tabs>
          <w:tab w:leader="none" w:pos="9355" w:val="clear"/>
          <w:tab w:leader="dot" w:pos="9355" w:val="right"/>
        </w:tabs>
        <w:ind/>
      </w:pPr>
      <w:r>
        <w:fldChar w:fldCharType="begin"/>
      </w:r>
      <w:r>
        <w:instrText>HYPERLINK \l "__RefHeading___36"</w:instrText>
      </w:r>
      <w:r>
        <w:fldChar w:fldCharType="separate"/>
      </w:r>
      <w:r>
        <w:t xml:space="preserve">XIII. </w:t>
      </w:r>
      <w:r>
        <w:t>Список литературы</w:t>
      </w:r>
      <w:r>
        <w:tab/>
      </w:r>
      <w:r>
        <w:fldChar w:fldCharType="begin"/>
      </w:r>
      <w:r>
        <w:instrText>PAGEREF __RefHeading___36 \h</w:instrText>
      </w:r>
      <w:r>
        <w:fldChar w:fldCharType="separate"/>
      </w:r>
      <w:r>
        <w:t>#</w:t>
      </w:r>
      <w:r>
        <w:fldChar w:fldCharType="end"/>
      </w:r>
      <w:r>
        <w:fldChar w:fldCharType="end"/>
      </w:r>
    </w:p>
    <w:p w14:paraId="3E000000">
      <w:pPr>
        <w:pStyle w:val="Style_9"/>
        <w:tabs>
          <w:tab w:leader="none" w:pos="9355" w:val="clear"/>
          <w:tab w:leader="dot" w:pos="9355" w:val="right"/>
        </w:tabs>
        <w:ind/>
      </w:pPr>
      <w:r>
        <w:fldChar w:fldCharType="begin"/>
      </w:r>
      <w:r>
        <w:instrText>HYPERLINK \l "__RefHeading___37"</w:instrText>
      </w:r>
      <w:r>
        <w:fldChar w:fldCharType="separate"/>
      </w:r>
      <w:r>
        <w:t>Приложение А1. Состав рабочей группы</w:t>
      </w:r>
      <w:r>
        <w:tab/>
      </w:r>
      <w:r>
        <w:fldChar w:fldCharType="begin"/>
      </w:r>
      <w:r>
        <w:instrText>PAGEREF __RefHeading___37 \h</w:instrText>
      </w:r>
      <w:r>
        <w:fldChar w:fldCharType="separate"/>
      </w:r>
      <w:r>
        <w:t>#</w:t>
      </w:r>
      <w:r>
        <w:fldChar w:fldCharType="end"/>
      </w:r>
      <w:r>
        <w:fldChar w:fldCharType="end"/>
      </w:r>
    </w:p>
    <w:p w14:paraId="3F000000">
      <w:pPr>
        <w:pStyle w:val="Style_9"/>
        <w:tabs>
          <w:tab w:leader="none" w:pos="9355" w:val="clear"/>
          <w:tab w:leader="dot" w:pos="9355" w:val="right"/>
        </w:tabs>
        <w:ind/>
      </w:pPr>
      <w:r>
        <w:fldChar w:fldCharType="begin"/>
      </w:r>
      <w:r>
        <w:instrText>HYPERLINK \l "__RefHeading___38"</w:instrText>
      </w:r>
      <w:r>
        <w:fldChar w:fldCharType="separate"/>
      </w:r>
      <w:r>
        <w:t>Приложение А2. Методология разработки клинических рекомендаций</w:t>
      </w:r>
      <w:r>
        <w:tab/>
      </w:r>
      <w:r>
        <w:fldChar w:fldCharType="begin"/>
      </w:r>
      <w:r>
        <w:instrText>PAGEREF __RefHeading___38 \h</w:instrText>
      </w:r>
      <w:r>
        <w:fldChar w:fldCharType="separate"/>
      </w:r>
      <w:r>
        <w:t>#</w:t>
      </w:r>
      <w:r>
        <w:fldChar w:fldCharType="end"/>
      </w:r>
      <w:r>
        <w:fldChar w:fldCharType="end"/>
      </w:r>
    </w:p>
    <w:p w14:paraId="40000000">
      <w:pPr>
        <w:pStyle w:val="Style_9"/>
        <w:tabs>
          <w:tab w:leader="none" w:pos="9355" w:val="clear"/>
          <w:tab w:leader="dot" w:pos="9355" w:val="right"/>
        </w:tabs>
        <w:ind/>
      </w:pPr>
      <w:r>
        <w:fldChar w:fldCharType="begin"/>
      </w:r>
      <w:r>
        <w:instrText>HYPERLINK \l "__RefHeading___39"</w:instrText>
      </w:r>
      <w:r>
        <w:fldChar w:fldCharType="separate"/>
      </w:r>
      <w:r>
        <w:t xml:space="preserve">Приложение А3. </w:t>
      </w:r>
      <w: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tab/>
      </w:r>
      <w:r>
        <w:fldChar w:fldCharType="begin"/>
      </w:r>
      <w:r>
        <w:instrText>PAGEREF __RefHeading___39 \h</w:instrText>
      </w:r>
      <w:r>
        <w:fldChar w:fldCharType="separate"/>
      </w:r>
      <w:r>
        <w:t>#</w:t>
      </w:r>
      <w:r>
        <w:fldChar w:fldCharType="end"/>
      </w:r>
      <w:r>
        <w:fldChar w:fldCharType="end"/>
      </w:r>
    </w:p>
    <w:p w14:paraId="41000000">
      <w:pPr>
        <w:pStyle w:val="Style_9"/>
        <w:tabs>
          <w:tab w:leader="none" w:pos="9355" w:val="clear"/>
          <w:tab w:leader="dot" w:pos="9355" w:val="right"/>
        </w:tabs>
        <w:ind/>
      </w:pPr>
      <w:r>
        <w:fldChar w:fldCharType="begin"/>
      </w:r>
      <w:r>
        <w:instrText>HYPERLINK \l "__RefHeading___40"</w:instrText>
      </w:r>
      <w:r>
        <w:fldChar w:fldCharType="separate"/>
      </w:r>
      <w:r>
        <w:t>Приложение Б. Алгоритмы ведения пациента</w:t>
      </w:r>
      <w:r>
        <w:tab/>
      </w:r>
      <w:r>
        <w:fldChar w:fldCharType="begin"/>
      </w:r>
      <w:r>
        <w:instrText>PAGEREF __RefHeading___40 \h</w:instrText>
      </w:r>
      <w:r>
        <w:fldChar w:fldCharType="separate"/>
      </w:r>
      <w:r>
        <w:t>#</w:t>
      </w:r>
      <w:r>
        <w:fldChar w:fldCharType="end"/>
      </w:r>
      <w:r>
        <w:fldChar w:fldCharType="end"/>
      </w:r>
    </w:p>
    <w:p w14:paraId="42000000">
      <w:pPr>
        <w:pStyle w:val="Style_9"/>
        <w:tabs>
          <w:tab w:leader="none" w:pos="9355" w:val="clear"/>
          <w:tab w:leader="dot" w:pos="9355" w:val="right"/>
        </w:tabs>
        <w:ind/>
      </w:pPr>
      <w:r>
        <w:fldChar w:fldCharType="begin"/>
      </w:r>
      <w:r>
        <w:instrText>HYPERLINK \l "__RefHeading___41"</w:instrText>
      </w:r>
      <w:r>
        <w:fldChar w:fldCharType="separate"/>
      </w:r>
      <w:r>
        <w:t xml:space="preserve">Приложение Б2. </w:t>
      </w:r>
      <w:r>
        <w:t>Выбор ортопедических конструкций</w:t>
      </w:r>
      <w:r>
        <w:tab/>
      </w:r>
      <w:r>
        <w:fldChar w:fldCharType="begin"/>
      </w:r>
      <w:r>
        <w:instrText>PAGEREF __RefHeading___41 \h</w:instrText>
      </w:r>
      <w:r>
        <w:fldChar w:fldCharType="separate"/>
      </w:r>
      <w:r>
        <w:t>#</w:t>
      </w:r>
      <w:r>
        <w:fldChar w:fldCharType="end"/>
      </w:r>
      <w:r>
        <w:fldChar w:fldCharType="end"/>
      </w:r>
    </w:p>
    <w:p w14:paraId="43000000">
      <w:pPr>
        <w:pStyle w:val="Style_9"/>
        <w:tabs>
          <w:tab w:leader="none" w:pos="9355" w:val="clear"/>
          <w:tab w:leader="dot" w:pos="9355" w:val="right"/>
        </w:tabs>
        <w:ind/>
      </w:pPr>
      <w:r>
        <w:fldChar w:fldCharType="begin"/>
      </w:r>
      <w:r>
        <w:instrText>HYPERLINK \l "__RefHeading___42"</w:instrText>
      </w:r>
      <w:r>
        <w:fldChar w:fldCharType="separate"/>
      </w:r>
      <w:r>
        <w:t>Восстановление коронки зуба протетическими</w:t>
      </w:r>
      <w:r>
        <w:t xml:space="preserve"> (ортопедическими)</w:t>
      </w:r>
      <w:r>
        <w:t xml:space="preserve"> конструкциями показано при индексе ИРОПЗ более 0,4: изготовление вкладок (из металла, керамики, композитных материалов) – при 0,4&lt;ИРОПЗ&lt;0,6; изготовление искусственных коронок – при 0,6 &lt; ИРОПЗ &lt; 0,8</w:t>
      </w:r>
      <w:r>
        <w:t>.</w:t>
      </w:r>
      <w:r>
        <w:tab/>
      </w:r>
      <w:r>
        <w:fldChar w:fldCharType="begin"/>
      </w:r>
      <w:r>
        <w:instrText>PAGEREF __RefHeading___42 \h</w:instrText>
      </w:r>
      <w:r>
        <w:fldChar w:fldCharType="separate"/>
      </w:r>
      <w:r>
        <w:t>#</w:t>
      </w:r>
      <w:r>
        <w:fldChar w:fldCharType="end"/>
      </w:r>
      <w:r>
        <w:fldChar w:fldCharType="end"/>
      </w:r>
    </w:p>
    <w:p w14:paraId="44000000">
      <w:pPr>
        <w:pStyle w:val="Style_9"/>
        <w:tabs>
          <w:tab w:leader="none" w:pos="9355" w:val="clear"/>
          <w:tab w:leader="dot" w:pos="9355" w:val="right"/>
        </w:tabs>
        <w:ind/>
      </w:pPr>
      <w:r>
        <w:fldChar w:fldCharType="begin"/>
      </w:r>
      <w:r>
        <w:instrText>HYPERLINK \l "__RefHeading___43"</w:instrText>
      </w:r>
      <w:r>
        <w:fldChar w:fldCharType="separate"/>
      </w:r>
      <w:r>
        <w:t>Приложение В. Информация для пациентов</w:t>
      </w:r>
      <w:r>
        <w:tab/>
      </w:r>
      <w:r>
        <w:fldChar w:fldCharType="begin"/>
      </w:r>
      <w:r>
        <w:instrText>PAGEREF __RefHeading___43 \h</w:instrText>
      </w:r>
      <w:r>
        <w:fldChar w:fldCharType="separate"/>
      </w:r>
      <w:r>
        <w:t>#</w:t>
      </w:r>
      <w:r>
        <w:fldChar w:fldCharType="end"/>
      </w:r>
      <w:r>
        <w:fldChar w:fldCharType="end"/>
      </w:r>
    </w:p>
    <w:p w14:paraId="45000000">
      <w:pPr>
        <w:pStyle w:val="Style_9"/>
        <w:tabs>
          <w:tab w:leader="none" w:pos="9355" w:val="clear"/>
          <w:tab w:leader="dot" w:pos="9355" w:val="right"/>
        </w:tabs>
        <w:ind/>
      </w:pPr>
      <w:r>
        <w:fldChar w:fldCharType="begin"/>
      </w:r>
      <w:r>
        <w:instrText>HYPERLINK \l "__RefHeading___44"</w:instrText>
      </w:r>
      <w:r>
        <w:fldChar w:fldCharType="separate"/>
      </w:r>
      <w:r>
        <w:t>Приложение Г1</w:t>
      </w:r>
      <w:r>
        <w:tab/>
      </w:r>
      <w:r>
        <w:fldChar w:fldCharType="begin"/>
      </w:r>
      <w:r>
        <w:instrText>PAGEREF __RefHeading___44 \h</w:instrText>
      </w:r>
      <w:r>
        <w:fldChar w:fldCharType="separate"/>
      </w:r>
      <w:r>
        <w:t>#</w:t>
      </w:r>
      <w:r>
        <w:fldChar w:fldCharType="end"/>
      </w:r>
      <w:r>
        <w:fldChar w:fldCharType="end"/>
      </w:r>
    </w:p>
    <w:p w14:paraId="46000000">
      <w:pPr>
        <w:pStyle w:val="Style_9"/>
        <w:tabs>
          <w:tab w:leader="none" w:pos="9355" w:val="clear"/>
          <w:tab w:leader="dot" w:pos="9355" w:val="right"/>
        </w:tabs>
        <w:ind/>
      </w:pPr>
      <w:r>
        <w:fldChar w:fldCharType="begin"/>
      </w:r>
      <w:r>
        <w:instrText>HYPERLINK \l "__RefHeading___45"</w:instrText>
      </w:r>
      <w:r>
        <w:fldChar w:fldCharType="separate"/>
      </w:r>
      <w:r>
        <w:t>Приложение Г</w:t>
      </w:r>
      <w:r>
        <w:t>2</w:t>
      </w:r>
      <w:r>
        <w:tab/>
      </w:r>
      <w:r>
        <w:fldChar w:fldCharType="begin"/>
      </w:r>
      <w:r>
        <w:instrText>PAGEREF __RefHeading___45 \h</w:instrText>
      </w:r>
      <w:r>
        <w:fldChar w:fldCharType="separate"/>
      </w:r>
      <w:r>
        <w:t>#</w:t>
      </w:r>
      <w:r>
        <w:fldChar w:fldCharType="end"/>
      </w:r>
      <w:r>
        <w:fldChar w:fldCharType="end"/>
      </w:r>
    </w:p>
    <w:p w14:paraId="47000000">
      <w:pPr>
        <w:pStyle w:val="Style_9"/>
        <w:tabs>
          <w:tab w:leader="none" w:pos="9355" w:val="clear"/>
          <w:tab w:leader="dot" w:pos="9355" w:val="right"/>
        </w:tabs>
        <w:ind/>
      </w:pPr>
      <w:r>
        <w:fldChar w:fldCharType="begin"/>
      </w:r>
      <w:r>
        <w:instrText>HYPERLINK \l "__RefHeading___46"</w:instrText>
      </w:r>
      <w:r>
        <w:fldChar w:fldCharType="separate"/>
      </w:r>
      <w:r>
        <w:t>Приложение Г3</w:t>
      </w:r>
      <w:r>
        <w:tab/>
      </w:r>
      <w:r>
        <w:fldChar w:fldCharType="begin"/>
      </w:r>
      <w:r>
        <w:instrText>PAGEREF __RefHeading___46 \h</w:instrText>
      </w:r>
      <w:r>
        <w:fldChar w:fldCharType="separate"/>
      </w:r>
      <w:r>
        <w:t>#</w:t>
      </w:r>
      <w:r>
        <w:fldChar w:fldCharType="end"/>
      </w:r>
      <w:r>
        <w:fldChar w:fldCharType="end"/>
      </w:r>
    </w:p>
    <w:p w14:paraId="49000000">
      <w:pPr>
        <w:widowControl w:val="1"/>
        <w:tabs>
          <w:tab w:leader="dot" w:pos="9345" w:val="right"/>
        </w:tabs>
        <w:spacing w:after="100"/>
        <w:ind w:firstLine="0"/>
      </w:pPr>
      <w:r>
        <w:fldChar w:fldCharType="end"/>
      </w:r>
      <w:bookmarkEnd w:id="5"/>
    </w:p>
    <w:p w14:paraId="4A000000"/>
    <w:p w14:paraId="4B000000"/>
    <w:p w14:paraId="4C000000">
      <w:bookmarkStart w:id="6" w:name="__RefHeading___2"/>
      <w:bookmarkEnd w:id="6"/>
      <w:pPr>
        <w:pStyle w:val="Style_11"/>
        <w:rPr>
          <w:sz w:val="28"/>
        </w:rPr>
      </w:pPr>
      <w:r>
        <w:rPr>
          <w:sz w:val="28"/>
        </w:rPr>
        <w:t>Ключевые слова</w:t>
      </w:r>
    </w:p>
    <w:p w14:paraId="4D000000">
      <w:pPr>
        <w:pStyle w:val="Style_11"/>
      </w:pPr>
    </w:p>
    <w:p w14:paraId="4E000000">
      <w:pPr>
        <w:pStyle w:val="Style_12"/>
      </w:pPr>
      <w:r>
        <w:t>Кариес зубов</w:t>
      </w:r>
    </w:p>
    <w:p w14:paraId="4F000000">
      <w:pPr>
        <w:pStyle w:val="Style_12"/>
        <w:rPr>
          <w:rStyle w:val="Style_13_ch"/>
        </w:rPr>
      </w:pPr>
      <w:r>
        <w:t>Кариес эмали</w:t>
      </w:r>
      <w:r>
        <w:rPr>
          <w:rStyle w:val="Style_13_ch"/>
        </w:rPr>
        <w:t xml:space="preserve"> </w:t>
      </w:r>
    </w:p>
    <w:p w14:paraId="50000000">
      <w:pPr>
        <w:pStyle w:val="Style_12"/>
      </w:pPr>
      <w:r>
        <w:t>Кариес дентина</w:t>
      </w:r>
    </w:p>
    <w:p w14:paraId="51000000">
      <w:pPr>
        <w:pStyle w:val="Style_12"/>
      </w:pPr>
      <w:r>
        <w:t>Кариес цемента</w:t>
      </w:r>
    </w:p>
    <w:p w14:paraId="52000000">
      <w:pPr>
        <w:pStyle w:val="Style_12"/>
      </w:pPr>
      <w:r>
        <w:t>Приостановившийся кариес</w:t>
      </w:r>
    </w:p>
    <w:p w14:paraId="53000000">
      <w:pPr>
        <w:pStyle w:val="Style_12"/>
      </w:pPr>
      <w:r>
        <w:t>Кариес с обнажением пульпы</w:t>
      </w:r>
    </w:p>
    <w:p w14:paraId="54000000">
      <w:pPr>
        <w:pStyle w:val="Style_12"/>
      </w:pPr>
      <w:r>
        <w:t>Другой кариес зубов</w:t>
      </w:r>
    </w:p>
    <w:p w14:paraId="55000000">
      <w:pPr>
        <w:pStyle w:val="Style_12"/>
      </w:pPr>
      <w:r>
        <w:t>Белое пятно</w:t>
      </w:r>
    </w:p>
    <w:p w14:paraId="56000000">
      <w:pPr>
        <w:pStyle w:val="Style_12"/>
      </w:pPr>
      <w:r>
        <w:t>Кариес зубов неуточненный</w:t>
      </w:r>
    </w:p>
    <w:p w14:paraId="57000000">
      <w:pPr>
        <w:pStyle w:val="Style_12"/>
      </w:pPr>
      <w:r>
        <w:t>Этиология кариеса зубов</w:t>
      </w:r>
    </w:p>
    <w:p w14:paraId="58000000">
      <w:pPr>
        <w:pStyle w:val="Style_12"/>
      </w:pPr>
      <w:r>
        <w:t>Патогенез кариеса зубов</w:t>
      </w:r>
    </w:p>
    <w:p w14:paraId="59000000">
      <w:pPr>
        <w:pStyle w:val="Style_12"/>
      </w:pPr>
      <w:r>
        <w:t>Эпидемиология кариеса зубов</w:t>
      </w:r>
    </w:p>
    <w:p w14:paraId="5A000000">
      <w:pPr>
        <w:pStyle w:val="Style_12"/>
      </w:pPr>
      <w:r>
        <w:t>Диагностика кариеса зубов</w:t>
      </w:r>
    </w:p>
    <w:p w14:paraId="5B000000">
      <w:pPr>
        <w:pStyle w:val="Style_12"/>
      </w:pPr>
      <w:r>
        <w:t>Лечение кариеса зубов</w:t>
      </w:r>
    </w:p>
    <w:p w14:paraId="5C000000">
      <w:pPr>
        <w:pStyle w:val="Style_12"/>
      </w:pPr>
      <w:r>
        <w:t>Инвазивное лечение кариеса зубов</w:t>
      </w:r>
    </w:p>
    <w:p w14:paraId="5D000000">
      <w:pPr>
        <w:pStyle w:val="Style_12"/>
      </w:pPr>
      <w:r>
        <w:t>Кариозная полость</w:t>
      </w:r>
    </w:p>
    <w:p w14:paraId="5E000000">
      <w:pPr>
        <w:pStyle w:val="Style_12"/>
      </w:pPr>
      <w:r>
        <w:t>Микроинвазивное лечение кариеса</w:t>
      </w:r>
      <w:r>
        <w:t xml:space="preserve"> зубов</w:t>
      </w:r>
    </w:p>
    <w:p w14:paraId="5F000000">
      <w:pPr>
        <w:pStyle w:val="Style_12"/>
      </w:pPr>
      <w:r>
        <w:t>Реминерализ</w:t>
      </w:r>
      <w:r>
        <w:t>ир</w:t>
      </w:r>
      <w:r>
        <w:t>ующая терапия</w:t>
      </w:r>
    </w:p>
    <w:p w14:paraId="60000000">
      <w:pPr>
        <w:pStyle w:val="Style_12"/>
      </w:pPr>
      <w:r>
        <w:t>Мини</w:t>
      </w:r>
      <w:r>
        <w:t>-</w:t>
      </w:r>
      <w:r>
        <w:t>инвазивное лечение кариеса</w:t>
      </w:r>
      <w:r>
        <w:t xml:space="preserve"> зубов</w:t>
      </w:r>
    </w:p>
    <w:p w14:paraId="61000000">
      <w:pPr>
        <w:pStyle w:val="Style_12"/>
      </w:pPr>
      <w:r>
        <w:t>Оперативно-восстановительное лечение кариеса зубов</w:t>
      </w:r>
    </w:p>
    <w:p w14:paraId="62000000">
      <w:pPr>
        <w:pStyle w:val="Style_12"/>
      </w:pPr>
      <w:r>
        <w:t>Пломбирование кариозной полости</w:t>
      </w:r>
    </w:p>
    <w:p w14:paraId="63000000">
      <w:pPr>
        <w:pStyle w:val="Style_12"/>
      </w:pPr>
      <w:r>
        <w:t>Профилактика кариеса зубов</w:t>
      </w:r>
    </w:p>
    <w:p w14:paraId="64000000">
      <w:bookmarkStart w:id="7" w:name="__RefHeading___3"/>
      <w:bookmarkEnd w:id="7"/>
      <w:pPr>
        <w:pStyle w:val="Style_8"/>
      </w:pPr>
      <w:r>
        <w:br w:type="page"/>
      </w:r>
      <w:bookmarkStart w:id="8" w:name="__RefHeading___doc_abbreviation"/>
      <w:r>
        <w:t xml:space="preserve">III. </w:t>
      </w:r>
      <w:r>
        <w:t>Список сокращений</w:t>
      </w:r>
      <w:bookmarkEnd w:id="8"/>
    </w:p>
    <w:p w14:paraId="65000000">
      <w:r>
        <w:t>ГПР – гигиена полости рта</w:t>
      </w:r>
    </w:p>
    <w:p w14:paraId="66000000">
      <w:r>
        <w:t>ЗН – зубной налет</w:t>
      </w:r>
    </w:p>
    <w:p w14:paraId="67000000">
      <w:r>
        <w:t>ИРОПЗ – индекс разрушения поверхности зуба</w:t>
      </w:r>
    </w:p>
    <w:p w14:paraId="68000000">
      <w:r>
        <w:t>КЗ – кариес зубов</w:t>
      </w:r>
    </w:p>
    <w:p w14:paraId="69000000">
      <w:r>
        <w:t>КЛКТ – конусно-лучевая компьютерная томография</w:t>
      </w:r>
    </w:p>
    <w:p w14:paraId="6A000000">
      <w:r>
        <w:t>МКБ</w:t>
      </w:r>
      <w:r>
        <w:t>-</w:t>
      </w:r>
      <w:r>
        <w:t xml:space="preserve">10 </w:t>
      </w:r>
      <w:r>
        <w:t>–</w:t>
      </w:r>
      <w:r>
        <w:t xml:space="preserve"> </w:t>
      </w:r>
      <w:r>
        <w:rPr>
          <w:rStyle w:val="Style_14_ch"/>
        </w:rPr>
        <w:t>международная</w:t>
      </w:r>
      <w:r>
        <w:t xml:space="preserve"> классификация болезней 10-го пересмотра</w:t>
      </w:r>
    </w:p>
    <w:p w14:paraId="6B000000">
      <w:r>
        <w:t xml:space="preserve">ОПТГ </w:t>
      </w:r>
      <w:r>
        <w:t>–</w:t>
      </w:r>
      <w:r>
        <w:t xml:space="preserve"> ортопантомография</w:t>
      </w:r>
    </w:p>
    <w:p w14:paraId="6C000000">
      <w:r>
        <w:t>ПР – полость рта</w:t>
      </w:r>
    </w:p>
    <w:p w14:paraId="6D000000">
      <w:r>
        <w:t>ТТЗ – твердые ткани зуба</w:t>
      </w:r>
    </w:p>
    <w:p w14:paraId="6E000000">
      <w:r>
        <w:t xml:space="preserve">ЭОД </w:t>
      </w:r>
      <w:r>
        <w:t>–</w:t>
      </w:r>
      <w:r>
        <w:t xml:space="preserve"> электроодонтодиагностика</w:t>
      </w:r>
    </w:p>
    <w:p w14:paraId="6F000000">
      <w:r>
        <w:t>DAS</w:t>
      </w:r>
      <w:r>
        <w:t xml:space="preserve"> – </w:t>
      </w:r>
      <w:r>
        <w:t>Dental</w:t>
      </w:r>
      <w:r>
        <w:t xml:space="preserve"> </w:t>
      </w:r>
      <w:r>
        <w:t>Anxiety</w:t>
      </w:r>
      <w:r>
        <w:t xml:space="preserve"> </w:t>
      </w:r>
      <w:r>
        <w:t>Scale</w:t>
      </w:r>
      <w:r>
        <w:t xml:space="preserve"> (Шкала стоматологической тревожности)</w:t>
      </w:r>
    </w:p>
    <w:p w14:paraId="70000000">
      <w:r>
        <w:t>ICDAS</w:t>
      </w:r>
      <w:r>
        <w:t xml:space="preserve"> </w:t>
      </w:r>
      <w:r>
        <w:t xml:space="preserve">– </w:t>
      </w:r>
      <w:r>
        <w:t>International</w:t>
      </w:r>
      <w:r>
        <w:t xml:space="preserve"> </w:t>
      </w:r>
      <w:r>
        <w:t>С</w:t>
      </w:r>
      <w:r>
        <w:t>aries</w:t>
      </w:r>
      <w:r>
        <w:t xml:space="preserve"> </w:t>
      </w:r>
      <w:r>
        <w:t>D</w:t>
      </w:r>
      <w:r>
        <w:t>etection</w:t>
      </w:r>
      <w:r>
        <w:t xml:space="preserve"> </w:t>
      </w:r>
      <w:r>
        <w:t>and</w:t>
      </w:r>
      <w:r>
        <w:t xml:space="preserve"> </w:t>
      </w:r>
      <w:r>
        <w:t>A</w:t>
      </w:r>
      <w:r>
        <w:t>ssessment</w:t>
      </w:r>
      <w:r>
        <w:t xml:space="preserve"> </w:t>
      </w:r>
      <w:r>
        <w:t>system</w:t>
      </w:r>
      <w:r>
        <w:t xml:space="preserve"> (</w:t>
      </w:r>
      <w:r>
        <w:t>Международная</w:t>
      </w:r>
      <w:r>
        <w:t xml:space="preserve"> </w:t>
      </w:r>
      <w:r>
        <w:t>система</w:t>
      </w:r>
      <w:r>
        <w:t xml:space="preserve"> </w:t>
      </w:r>
      <w:r>
        <w:t>определения</w:t>
      </w:r>
      <w:r>
        <w:t xml:space="preserve"> </w:t>
      </w:r>
      <w:r>
        <w:t xml:space="preserve">и оценки </w:t>
      </w:r>
      <w:r>
        <w:t>кариеса</w:t>
      </w:r>
      <w:r>
        <w:t xml:space="preserve"> </w:t>
      </w:r>
      <w:r>
        <w:t>зубов</w:t>
      </w:r>
      <w:r>
        <w:t>)</w:t>
      </w:r>
    </w:p>
    <w:p w14:paraId="71000000">
      <w:r>
        <w:t>OHIP</w:t>
      </w:r>
      <w:r>
        <w:t xml:space="preserve"> – </w:t>
      </w:r>
      <w:r>
        <w:t>Oral</w:t>
      </w:r>
      <w:r>
        <w:t xml:space="preserve"> </w:t>
      </w:r>
      <w:r>
        <w:t>Health</w:t>
      </w:r>
      <w:r>
        <w:t xml:space="preserve"> </w:t>
      </w:r>
      <w:r>
        <w:t>Impact</w:t>
      </w:r>
      <w:r>
        <w:t xml:space="preserve"> </w:t>
      </w:r>
      <w:r>
        <w:t>Profile</w:t>
      </w:r>
      <w:r>
        <w:t xml:space="preserve"> (Профиль влияния стоматологического здоровья)</w:t>
      </w:r>
    </w:p>
    <w:p w14:paraId="72000000"/>
    <w:p w14:paraId="73000000">
      <w:pPr>
        <w:pStyle w:val="Style_15"/>
      </w:pPr>
    </w:p>
    <w:p w14:paraId="74000000">
      <w:bookmarkStart w:id="9" w:name="__RefHeading___4"/>
      <w:bookmarkEnd w:id="9"/>
      <w:pPr>
        <w:pStyle w:val="Style_16"/>
      </w:pPr>
      <w:r>
        <w:br w:type="page"/>
      </w:r>
      <w:bookmarkStart w:id="10" w:name="__RefHeading___doc_terms"/>
      <w:r>
        <w:t>IV</w:t>
      </w:r>
      <w:r>
        <w:t>.</w:t>
      </w:r>
      <w:r>
        <w:t xml:space="preserve"> </w:t>
      </w:r>
      <w:r>
        <w:t>Термины и определения</w:t>
      </w:r>
      <w:bookmarkEnd w:id="10"/>
    </w:p>
    <w:p w14:paraId="75000000">
      <w:r>
        <w:rPr>
          <w:b w:val="1"/>
        </w:rPr>
        <w:t>Кариес зубов</w:t>
      </w:r>
      <w:r>
        <w:t xml:space="preserve"> </w:t>
      </w:r>
      <w:r>
        <w:t>–</w:t>
      </w:r>
      <w:r>
        <w:t xml:space="preserve"> это инфекционный патологический процесс, проявляющийся после прорезывания зубов, при котором происходят деминерализация и размягчение</w:t>
      </w:r>
      <w:r>
        <w:t xml:space="preserve"> твердых тканей зуба (</w:t>
      </w:r>
      <w:r>
        <w:t>ТТЗ</w:t>
      </w:r>
      <w:r>
        <w:t xml:space="preserve">) </w:t>
      </w:r>
      <w:r>
        <w:t xml:space="preserve"> </w:t>
      </w:r>
      <w:r>
        <w:t>с последующим образованием дефекта в виде полости</w:t>
      </w:r>
      <w:r>
        <w:t xml:space="preserve"> </w:t>
      </w:r>
      <w:r>
        <w:t>[1, 2].</w:t>
      </w:r>
    </w:p>
    <w:p w14:paraId="76000000">
      <w:r>
        <w:t>С учетом этиопатогенетической характеристики кариеса зубов как болезни, систематизируемой в МКБ</w:t>
      </w:r>
      <w:r>
        <w:t>-10</w:t>
      </w:r>
      <w:r>
        <w:t xml:space="preserve">, </w:t>
      </w:r>
      <w:r>
        <w:rPr>
          <w:b w:val="1"/>
        </w:rPr>
        <w:t>кариес зубов</w:t>
      </w:r>
      <w:r>
        <w:rPr>
          <w:b w:val="1"/>
        </w:rPr>
        <w:t xml:space="preserve"> (КЗ)</w:t>
      </w:r>
      <w:r>
        <w:t xml:space="preserve"> определяется как </w:t>
      </w:r>
      <w:r>
        <w:t xml:space="preserve">мультифакторное заболевание преимущественно микробного </w:t>
      </w:r>
      <w:r>
        <w:t>генеза</w:t>
      </w:r>
      <w:r>
        <w:t>, возникающее после прорезывания зубов, при котором в отсутствии адекватных лечебно-профилактических мер последовательно происход</w:t>
      </w:r>
      <w:r>
        <w:t>я</w:t>
      </w:r>
      <w:r>
        <w:t>т деминерализация неорганических структур, разрушение органического матрикса эмали, деструкция</w:t>
      </w:r>
      <w:r>
        <w:t xml:space="preserve"> </w:t>
      </w:r>
      <w:r>
        <w:t xml:space="preserve">ТТЗ </w:t>
      </w:r>
      <w:r>
        <w:t xml:space="preserve"> (эмали, дентина, цемента) с образованием дефекта, возникает риск развития воспалительных осложнений со стороны пульпы и периодонта</w:t>
      </w:r>
      <w:r>
        <w:t xml:space="preserve"> [</w:t>
      </w:r>
      <w:r>
        <w:t>3, 4, 5, 6, 7</w:t>
      </w:r>
      <w:r>
        <w:t>]</w:t>
      </w:r>
      <w:r>
        <w:t>.</w:t>
      </w:r>
    </w:p>
    <w:p w14:paraId="77000000">
      <w:pPr>
        <w:rPr>
          <w:i w:val="1"/>
        </w:rPr>
      </w:pPr>
      <w:r>
        <w:rPr>
          <w:b w:val="1"/>
        </w:rPr>
        <w:t>Кариес эмали</w:t>
      </w:r>
      <w:r>
        <w:t xml:space="preserve"> – </w:t>
      </w:r>
      <w:r>
        <w:rPr>
          <w:i w:val="1"/>
        </w:rPr>
        <w:t>начальная стадия кариеса, характеризующаяся деминерализацией неорганических структур эмали и разрушением её органического матрикса, клинически проявляющаяся образованием белого пятна на поверхности зуба</w:t>
      </w:r>
      <w:r>
        <w:rPr>
          <w:i w:val="1"/>
        </w:rPr>
        <w:t xml:space="preserve"> или </w:t>
      </w:r>
      <w:r>
        <w:rPr>
          <w:i w:val="1"/>
        </w:rPr>
        <w:t>образованием дефекта (полости) в пределах</w:t>
      </w:r>
      <w:r>
        <w:rPr>
          <w:i w:val="1"/>
        </w:rPr>
        <w:t xml:space="preserve"> эмали</w:t>
      </w:r>
    </w:p>
    <w:p w14:paraId="78000000">
      <w:pPr>
        <w:rPr>
          <w:i w:val="1"/>
        </w:rPr>
      </w:pPr>
      <w:r>
        <w:rPr>
          <w:b w:val="1"/>
        </w:rPr>
        <w:t>Кариес дентина</w:t>
      </w:r>
      <w:r>
        <w:rPr>
          <w:b w:val="1"/>
        </w:rPr>
        <w:t xml:space="preserve"> </w:t>
      </w:r>
      <w:r>
        <w:t>–</w:t>
      </w:r>
      <w:r>
        <w:t xml:space="preserve"> разв</w:t>
      </w:r>
      <w:r>
        <w:t>и</w:t>
      </w:r>
      <w:r>
        <w:t xml:space="preserve">вшаяся стадия </w:t>
      </w:r>
      <w:r>
        <w:t>кариеса зубов</w:t>
      </w:r>
      <w:r>
        <w:t xml:space="preserve">, характеризующаяся прогрессирующей деструкцией эмали и дентина с </w:t>
      </w:r>
      <w:bookmarkStart w:id="11" w:name="_Hlk88605297"/>
      <w:r>
        <w:t>образованием дефект</w:t>
      </w:r>
      <w:r>
        <w:t>а</w:t>
      </w:r>
      <w:r>
        <w:t xml:space="preserve"> (полости) в пределах</w:t>
      </w:r>
      <w:bookmarkEnd w:id="11"/>
      <w:r>
        <w:t xml:space="preserve"> дентина.</w:t>
      </w:r>
    </w:p>
    <w:p w14:paraId="79000000">
      <w:pPr>
        <w:rPr>
          <w:i w:val="1"/>
        </w:rPr>
      </w:pPr>
      <w:r>
        <w:rPr>
          <w:b w:val="1"/>
        </w:rPr>
        <w:t>Кариес цемента</w:t>
      </w:r>
      <w:r>
        <w:t xml:space="preserve"> – кариозное поражение цемента корня зуба, характеризующееся образованием пятна </w:t>
      </w:r>
      <w:r>
        <w:t>или дефекта (полости), возникающее при оголении корня зуба и</w:t>
      </w:r>
      <w:r>
        <w:t xml:space="preserve"> рецессии десны.</w:t>
      </w:r>
    </w:p>
    <w:p w14:paraId="7A000000">
      <w:pPr>
        <w:rPr>
          <w:i w:val="1"/>
        </w:rPr>
      </w:pPr>
      <w:r>
        <w:rPr>
          <w:b w:val="1"/>
        </w:rPr>
        <w:t>Приостановившийся кариес</w:t>
      </w:r>
      <w:r>
        <w:t xml:space="preserve"> – кариозный процесс в стадии стабилизации, проявляющийся </w:t>
      </w:r>
      <w:r>
        <w:t xml:space="preserve">образованием </w:t>
      </w:r>
      <w:r>
        <w:t>плотн</w:t>
      </w:r>
      <w:r>
        <w:t>ого</w:t>
      </w:r>
      <w:r>
        <w:t xml:space="preserve"> пигментированн</w:t>
      </w:r>
      <w:r>
        <w:t>ого</w:t>
      </w:r>
      <w:r>
        <w:t xml:space="preserve"> пятн</w:t>
      </w:r>
      <w:r>
        <w:t xml:space="preserve">а на поверхности </w:t>
      </w:r>
      <w:r>
        <w:t>эмали или пигментацией и уплотнением дентина</w:t>
      </w:r>
      <w:r>
        <w:rPr>
          <w:i w:val="1"/>
        </w:rPr>
        <w:t>.</w:t>
      </w:r>
    </w:p>
    <w:p w14:paraId="7B000000">
      <w:pPr>
        <w:rPr>
          <w:i w:val="1"/>
        </w:rPr>
      </w:pPr>
      <w:bookmarkStart w:id="12" w:name="_Hlk185876845"/>
      <w:r>
        <w:rPr>
          <w:b w:val="1"/>
        </w:rPr>
        <w:t>Понятие</w:t>
      </w:r>
      <w:bookmarkEnd w:id="12"/>
      <w:r>
        <w:rPr>
          <w:b w:val="1"/>
        </w:rPr>
        <w:t xml:space="preserve"> «в</w:t>
      </w:r>
      <w:r>
        <w:rPr>
          <w:b w:val="1"/>
        </w:rPr>
        <w:t>торичный кариес</w:t>
      </w:r>
      <w:r>
        <w:rPr>
          <w:b w:val="1"/>
        </w:rPr>
        <w:t>»</w:t>
      </w:r>
      <w:r>
        <w:rPr>
          <w:b w:val="1"/>
        </w:rPr>
        <w:t xml:space="preserve"> </w:t>
      </w:r>
      <w:r>
        <w:t>–</w:t>
      </w:r>
      <w:r>
        <w:t xml:space="preserve"> кариозное поражение, развивающееся </w:t>
      </w:r>
      <w:r>
        <w:t xml:space="preserve">после проведенного лечения, преимущественно </w:t>
      </w:r>
      <w:r>
        <w:t xml:space="preserve">на границе </w:t>
      </w:r>
      <w:r>
        <w:t>«</w:t>
      </w:r>
      <w:r>
        <w:t>реставраци</w:t>
      </w:r>
      <w:r>
        <w:t>я</w:t>
      </w:r>
      <w:r>
        <w:t xml:space="preserve"> (пломб</w:t>
      </w:r>
      <w:r>
        <w:t>а</w:t>
      </w:r>
      <w:r>
        <w:t>, вкладк</w:t>
      </w:r>
      <w:r>
        <w:t>а</w:t>
      </w:r>
      <w:r>
        <w:t>)</w:t>
      </w:r>
      <w:r>
        <w:t xml:space="preserve"> – зуб»</w:t>
      </w:r>
      <w:r>
        <w:t xml:space="preserve"> [271]</w:t>
      </w:r>
      <w:r>
        <w:t>.</w:t>
      </w:r>
    </w:p>
    <w:p w14:paraId="7C000000">
      <w:pPr>
        <w:rPr>
          <w:color w:val="FF0000"/>
        </w:rPr>
      </w:pPr>
      <w:r>
        <w:rPr>
          <w:b w:val="1"/>
        </w:rPr>
        <w:t>Понятие</w:t>
      </w:r>
      <w:r>
        <w:rPr>
          <w:b w:val="1"/>
          <w:color w:val="FF0000"/>
        </w:rPr>
        <w:t xml:space="preserve"> </w:t>
      </w:r>
      <w:r>
        <w:rPr>
          <w:b w:val="1"/>
        </w:rPr>
        <w:t>«р</w:t>
      </w:r>
      <w:r>
        <w:rPr>
          <w:b w:val="1"/>
        </w:rPr>
        <w:t>ецидивный кариес</w:t>
      </w:r>
      <w:r>
        <w:rPr>
          <w:b w:val="1"/>
        </w:rPr>
        <w:t>»</w:t>
      </w:r>
      <w:r>
        <w:t xml:space="preserve"> </w:t>
      </w:r>
      <w:r>
        <w:t xml:space="preserve">– патологический процесс, развивающийся в дентине в различные сроки после </w:t>
      </w:r>
      <w:r>
        <w:t xml:space="preserve">оперативно-восстановительного лечения по поводу </w:t>
      </w:r>
      <w:r>
        <w:t>КЗ</w:t>
      </w:r>
      <w:r>
        <w:t>, преимущественно под пломбой [271]</w:t>
      </w:r>
      <w:r>
        <w:t>.</w:t>
      </w:r>
      <w:r>
        <w:rPr>
          <w:color w:val="FF0000"/>
        </w:rPr>
        <w:t xml:space="preserve"> </w:t>
      </w:r>
    </w:p>
    <w:p w14:paraId="7D000000">
      <w:pPr>
        <w:rPr>
          <w:i w:val="1"/>
        </w:rPr>
      </w:pPr>
      <w:r>
        <w:rPr>
          <w:b w:val="1"/>
        </w:rPr>
        <w:t>Другой кариес зубов</w:t>
      </w:r>
      <w:r>
        <w:rPr>
          <w:b w:val="1"/>
        </w:rPr>
        <w:t xml:space="preserve"> </w:t>
      </w:r>
      <w:r>
        <w:t>-кариозные поражения в ТТЗ, развивши</w:t>
      </w:r>
      <w:r>
        <w:t>е</w:t>
      </w:r>
      <w:r>
        <w:t>ся после  эндодонтического лечения осложненных форм кариеса- пульпита и периодонтита.</w:t>
      </w:r>
    </w:p>
    <w:p w14:paraId="7E000000">
      <w:pPr>
        <w:rPr>
          <w:color w:val="FF0000"/>
        </w:rPr>
      </w:pPr>
      <w:r>
        <w:rPr>
          <w:b w:val="1"/>
        </w:rPr>
        <w:t>Кариес с обнажением пульпы</w:t>
      </w:r>
      <w:r>
        <w:t xml:space="preserve"> – это </w:t>
      </w:r>
      <w:r>
        <w:t>пораж</w:t>
      </w:r>
      <w:r>
        <w:t xml:space="preserve">ение </w:t>
      </w:r>
      <w:r>
        <w:t>ТТЗ</w:t>
      </w:r>
      <w:r>
        <w:t xml:space="preserve">, проявляющееся </w:t>
      </w:r>
      <w:r>
        <w:t xml:space="preserve">наличием кариозной полости </w:t>
      </w:r>
      <w:r>
        <w:t xml:space="preserve">в пределах </w:t>
      </w:r>
      <w:r>
        <w:t xml:space="preserve">околопульпарного </w:t>
      </w:r>
      <w:r>
        <w:t xml:space="preserve">слоя </w:t>
      </w:r>
      <w:r>
        <w:t>дентина</w:t>
      </w:r>
      <w:r>
        <w:t xml:space="preserve"> при сохранении </w:t>
      </w:r>
      <w:r>
        <w:t>жизнеспособности пульпы, создающее</w:t>
      </w:r>
      <w:r>
        <w:t xml:space="preserve"> </w:t>
      </w:r>
      <w:r>
        <w:t>высоки</w:t>
      </w:r>
      <w:r>
        <w:t>й</w:t>
      </w:r>
      <w:r>
        <w:t xml:space="preserve"> риск </w:t>
      </w:r>
      <w:r>
        <w:t>вскрыти</w:t>
      </w:r>
      <w:r>
        <w:t>я полости зуба</w:t>
      </w:r>
      <w:r>
        <w:t xml:space="preserve"> (случайное вскрытие пульпы)</w:t>
      </w:r>
      <w:r>
        <w:t>.</w:t>
      </w:r>
    </w:p>
    <w:p w14:paraId="7F000000">
      <w:r>
        <w:rPr>
          <w:b w:val="1"/>
        </w:rPr>
        <w:t>Кариес зубов неуточненный</w:t>
      </w:r>
      <w:r>
        <w:t xml:space="preserve"> </w:t>
      </w:r>
      <w:r>
        <w:t>–</w:t>
      </w:r>
      <w:r>
        <w:t xml:space="preserve"> это патологический процесс</w:t>
      </w:r>
      <w:r>
        <w:t xml:space="preserve"> кариозного происхождения</w:t>
      </w:r>
      <w:r>
        <w:t xml:space="preserve">, </w:t>
      </w:r>
      <w:r>
        <w:t>развивающийся в ТТЗ</w:t>
      </w:r>
      <w:r>
        <w:t>, требующий дополнительных методов диагностики для постановки окончательного диагноза.</w:t>
      </w:r>
    </w:p>
    <w:p w14:paraId="80000000">
      <w:pPr>
        <w:rPr>
          <w:color w:val="252A2F"/>
        </w:rPr>
      </w:pPr>
      <w:r>
        <w:rPr>
          <w:b w:val="1"/>
          <w:color w:val="252A2F"/>
        </w:rPr>
        <w:t>Деминерализация эмали</w:t>
      </w:r>
      <w:r>
        <w:rPr>
          <w:color w:val="252A2F"/>
        </w:rPr>
        <w:t> </w:t>
      </w:r>
      <w:r>
        <w:rPr>
          <w:color w:val="252A2F"/>
        </w:rPr>
        <w:t>– утрата</w:t>
      </w:r>
      <w:r>
        <w:rPr>
          <w:color w:val="252A2F"/>
        </w:rPr>
        <w:t xml:space="preserve"> минеральн</w:t>
      </w:r>
      <w:r>
        <w:rPr>
          <w:color w:val="252A2F"/>
        </w:rPr>
        <w:t>ого</w:t>
      </w:r>
      <w:r>
        <w:rPr>
          <w:color w:val="252A2F"/>
        </w:rPr>
        <w:t xml:space="preserve"> компонент</w:t>
      </w:r>
      <w:r>
        <w:rPr>
          <w:color w:val="252A2F"/>
        </w:rPr>
        <w:t>а</w:t>
      </w:r>
      <w:r>
        <w:rPr>
          <w:color w:val="252A2F"/>
        </w:rPr>
        <w:t xml:space="preserve"> зубной эмали.</w:t>
      </w:r>
    </w:p>
    <w:p w14:paraId="81000000">
      <w:pPr>
        <w:rPr>
          <w:i w:val="1"/>
        </w:rPr>
      </w:pPr>
      <w:r>
        <w:rPr>
          <w:b w:val="1"/>
          <w:color w:val="252A2F"/>
        </w:rPr>
        <w:t>Реминерализация</w:t>
      </w:r>
      <w:r>
        <w:rPr>
          <w:color w:val="252A2F"/>
        </w:rPr>
        <w:t xml:space="preserve"> – процесс насыщения </w:t>
      </w:r>
      <w:r>
        <w:rPr>
          <w:color w:val="252A2F"/>
        </w:rPr>
        <w:t>ТТЗ</w:t>
      </w:r>
      <w:r>
        <w:rPr>
          <w:color w:val="252A2F"/>
        </w:rPr>
        <w:t xml:space="preserve"> минеральными компонентами.</w:t>
      </w:r>
    </w:p>
    <w:p w14:paraId="82000000">
      <w:r>
        <w:rPr>
          <w:b w:val="1"/>
        </w:rPr>
        <w:t xml:space="preserve">Зубной налет (микробная биопленка) – </w:t>
      </w:r>
      <w:r>
        <w:t>скопление микроорганизмов на поверхности зуба</w:t>
      </w:r>
      <w:r>
        <w:t xml:space="preserve"> (</w:t>
      </w:r>
      <w:r>
        <w:t>пломб, зубных протезов и др.</w:t>
      </w:r>
      <w:r>
        <w:t>)</w:t>
      </w:r>
      <w:r>
        <w:t xml:space="preserve">, </w:t>
      </w:r>
      <w:r>
        <w:t>c</w:t>
      </w:r>
      <w:r>
        <w:t xml:space="preserve">формированное как особая экосистема, нарушение гомеостаза </w:t>
      </w:r>
      <w:r>
        <w:t xml:space="preserve">в </w:t>
      </w:r>
      <w:r>
        <w:t xml:space="preserve">которой приводит к развитию </w:t>
      </w:r>
      <w:r>
        <w:t>КЗ</w:t>
      </w:r>
      <w:r>
        <w:t xml:space="preserve"> и </w:t>
      </w:r>
      <w:r>
        <w:t xml:space="preserve">повышает риск развития </w:t>
      </w:r>
      <w:r>
        <w:t>заболеваний пародонта и слизистой полости рта.</w:t>
      </w:r>
    </w:p>
    <w:p w14:paraId="83000000">
      <w:r>
        <w:rPr>
          <w:b w:val="1"/>
        </w:rPr>
        <w:t>Профилактика кариеса</w:t>
      </w:r>
      <w:r>
        <w:t xml:space="preserve"> –</w:t>
      </w:r>
      <w:r>
        <w:t xml:space="preserve"> комплекс мероприятий</w:t>
      </w:r>
      <w:r>
        <w:t xml:space="preserve"> по устранению </w:t>
      </w:r>
      <w:r>
        <w:t xml:space="preserve">местных, системных и др. </w:t>
      </w:r>
      <w:r>
        <w:t>факторов кариесогенного риска</w:t>
      </w:r>
      <w:r>
        <w:t xml:space="preserve">, направленных на предупреждение возникновения </w:t>
      </w:r>
      <w:r>
        <w:t>КЗ</w:t>
      </w:r>
      <w:r>
        <w:t>.</w:t>
      </w:r>
    </w:p>
    <w:p w14:paraId="84000000">
      <w:r>
        <w:rPr>
          <w:b w:val="1"/>
        </w:rPr>
        <w:t xml:space="preserve">Фактор риска – </w:t>
      </w:r>
      <w:r>
        <w:t>это выявленный в результате долговременных исследований фактор окружа</w:t>
      </w:r>
      <w:r>
        <w:t>ющей среды, поведенческий или биологический фактор, присутствие которого увеличивает вероятность возникновения заболевания, а отсутствие или устранение его снижает эту вероятность. Факторы риска являются частью причинной цепи, приводящей к заболеванию.</w:t>
      </w:r>
    </w:p>
    <w:p w14:paraId="85000000">
      <w:r>
        <w:rPr>
          <w:b w:val="1"/>
        </w:rPr>
        <w:t>Оценка риска кариеса</w:t>
      </w:r>
      <w:r>
        <w:t xml:space="preserve"> – использование знаний о факторах, имеющих отношение к возникновению кариеса, для выявления пациентов с</w:t>
      </w:r>
      <w:r>
        <w:t xml:space="preserve"> кариесогенными</w:t>
      </w:r>
      <w:r>
        <w:t xml:space="preserve"> факторами риска, подразделения их на группы высокого, среднего или низкого риска</w:t>
      </w:r>
      <w:r>
        <w:t>,</w:t>
      </w:r>
      <w:r>
        <w:t xml:space="preserve"> </w:t>
      </w:r>
      <w:r>
        <w:t>а также</w:t>
      </w:r>
      <w:r>
        <w:t xml:space="preserve"> выбора оптимальных в существующих обстоятельствах лечебно-профилактических мероприятий.</w:t>
      </w:r>
    </w:p>
    <w:p w14:paraId="86000000">
      <w:r>
        <w:rPr>
          <w:b w:val="1"/>
        </w:rPr>
        <w:t>Кариес</w:t>
      </w:r>
      <w:r>
        <w:rPr>
          <w:b w:val="1"/>
        </w:rPr>
        <w:t>-</w:t>
      </w:r>
      <w:r>
        <w:rPr>
          <w:b w:val="1"/>
        </w:rPr>
        <w:t>резистентност</w:t>
      </w:r>
      <w:r>
        <w:rPr>
          <w:b w:val="1"/>
        </w:rPr>
        <w:t>ь</w:t>
      </w:r>
      <w:r>
        <w:rPr>
          <w:b w:val="1"/>
        </w:rPr>
        <w:t xml:space="preserve"> </w:t>
      </w:r>
      <w:r>
        <w:rPr>
          <w:b w:val="1"/>
        </w:rPr>
        <w:t>–</w:t>
      </w:r>
      <w:r>
        <w:rPr>
          <w:b w:val="1"/>
        </w:rPr>
        <w:t xml:space="preserve"> </w:t>
      </w:r>
      <w:r>
        <w:t xml:space="preserve">устойчивость </w:t>
      </w:r>
      <w:r>
        <w:t>ТТЗ</w:t>
      </w:r>
      <w:r>
        <w:t xml:space="preserve"> к действию</w:t>
      </w:r>
      <w:r>
        <w:t xml:space="preserve"> основных факторов </w:t>
      </w:r>
      <w:r>
        <w:t>кариесоге</w:t>
      </w:r>
      <w:r>
        <w:t>нного риска</w:t>
      </w:r>
      <w:r>
        <w:t>, формиру</w:t>
      </w:r>
      <w:r>
        <w:t>ющая</w:t>
      </w:r>
      <w:r>
        <w:t>ся у здоровых людей, не отягощенных системной патологией, соблюдающих сбалансированную противокариозную диету</w:t>
      </w:r>
      <w:r>
        <w:t>.</w:t>
      </w:r>
    </w:p>
    <w:p w14:paraId="87000000">
      <w:r>
        <w:rPr>
          <w:b w:val="1"/>
        </w:rPr>
        <w:t>Комплаентность</w:t>
      </w:r>
      <w:r>
        <w:rPr>
          <w:b w:val="1"/>
        </w:rPr>
        <w:t xml:space="preserve"> (приверженность) стоматологического пациента</w:t>
      </w:r>
      <w:r>
        <w:t xml:space="preserve"> – индивидуальная характеристика личности пациента, отражающая уровень готовности к поддержанию стоматологического здоровья (гигиены полости рта) и результатов проведенного стоматологического лечения.</w:t>
      </w:r>
    </w:p>
    <w:p w14:paraId="88000000">
      <w:pPr>
        <w:pStyle w:val="Style_17"/>
      </w:pPr>
      <w:r>
        <w:rPr>
          <w:b w:val="1"/>
        </w:rPr>
        <w:t>Препарирование кариозной полости</w:t>
      </w:r>
      <w:r>
        <w:t xml:space="preserve"> </w:t>
      </w:r>
      <w:r>
        <w:t>–</w:t>
      </w:r>
      <w:r>
        <w:t xml:space="preserve"> это комплекс мероприятий по удалению пораженных (деминерализованных, </w:t>
      </w:r>
      <w:r>
        <w:t>некротизированных,</w:t>
      </w:r>
      <w:r>
        <w:t xml:space="preserve"> </w:t>
      </w:r>
      <w:r>
        <w:t>размягченных</w:t>
      </w:r>
      <w:r>
        <w:t>,</w:t>
      </w:r>
      <w:r>
        <w:t xml:space="preserve">) </w:t>
      </w:r>
      <w:r>
        <w:t>ТТЗ</w:t>
      </w:r>
      <w:r>
        <w:t>, формирование (при необходимости)</w:t>
      </w:r>
      <w:r>
        <w:t xml:space="preserve"> полости </w:t>
      </w:r>
      <w:r>
        <w:t xml:space="preserve">с целью последующего восстановления </w:t>
      </w:r>
      <w:r>
        <w:t>зуба пломбой, вкладкой, виниром, полукоронкой, коронкой</w:t>
      </w:r>
      <w:r>
        <w:t>. Препарирование полости зависит от локализации, объёма поражения и групповой принадлежности зуба.</w:t>
      </w:r>
      <w:r>
        <w:t xml:space="preserve"> Препарирование </w:t>
      </w:r>
      <w:r>
        <w:t>ТТЗ</w:t>
      </w:r>
      <w:r>
        <w:t xml:space="preserve"> может проводиться как традиционным (с использованием турбинного наконечника / микромотора и боров), так и альтернативными методами:</w:t>
      </w:r>
      <w:r>
        <w:t xml:space="preserve"> с применением воздушно-абразивной смеси</w:t>
      </w:r>
      <w:r>
        <w:t>,</w:t>
      </w:r>
      <w:r>
        <w:t xml:space="preserve"> </w:t>
      </w:r>
      <w:r>
        <w:t xml:space="preserve"> ультразвукового </w:t>
      </w:r>
      <w:r>
        <w:t>скалера</w:t>
      </w:r>
      <w:r>
        <w:t xml:space="preserve">, </w:t>
      </w:r>
      <w:r>
        <w:t xml:space="preserve"> </w:t>
      </w:r>
      <w:r>
        <w:t>лазера, озона и др.</w:t>
      </w:r>
      <w:r>
        <w:t xml:space="preserve"> </w:t>
      </w:r>
    </w:p>
    <w:p w14:paraId="89000000">
      <w:r>
        <w:rPr>
          <w:b w:val="1"/>
        </w:rPr>
        <w:t xml:space="preserve">Реставрация </w:t>
      </w:r>
      <w:r>
        <w:rPr>
          <w:b w:val="1"/>
        </w:rPr>
        <w:t>ТТЗ</w:t>
      </w:r>
      <w:r>
        <w:rPr>
          <w:b w:val="1"/>
        </w:rPr>
        <w:t>,</w:t>
      </w:r>
      <w:r>
        <w:rPr>
          <w:b w:val="1"/>
        </w:rPr>
        <w:t xml:space="preserve"> утраченных вследствие кари</w:t>
      </w:r>
      <w:r>
        <w:rPr>
          <w:b w:val="1"/>
        </w:rPr>
        <w:t>озного поражения</w:t>
      </w:r>
      <w:r>
        <w:rPr>
          <w:b w:val="1"/>
        </w:rPr>
        <w:t>,</w:t>
      </w:r>
      <w:r>
        <w:t xml:space="preserve"> – это комплекс мероприятий по восстановлению анатомической формы, функциональных и эстетических свойств зуба с использованием различных стоматологических материалов и технологий.</w:t>
      </w:r>
    </w:p>
    <w:p w14:paraId="8A000000">
      <w:bookmarkStart w:id="13" w:name="__RefHeading___5"/>
      <w:bookmarkEnd w:id="13"/>
      <w:pPr>
        <w:pStyle w:val="Style_8"/>
      </w:pPr>
      <w:r>
        <w:br w:type="page"/>
      </w:r>
      <w:bookmarkStart w:id="14" w:name="__RefHeading___doc_1"/>
      <w:r>
        <w:t>V</w:t>
      </w:r>
      <w:r>
        <w:t xml:space="preserve">. </w:t>
      </w:r>
      <w:r>
        <w:t>Краткая информация по заболеванию или состоянию (группе заболеваний или состояний)</w:t>
      </w:r>
      <w:r>
        <w:tab/>
      </w:r>
      <w:bookmarkEnd w:id="14"/>
    </w:p>
    <w:p w14:paraId="8B000000">
      <w:bookmarkStart w:id="15" w:name="__RefHeading___6"/>
      <w:bookmarkEnd w:id="15"/>
      <w:pPr>
        <w:pStyle w:val="Style_18"/>
      </w:pPr>
      <w:bookmarkStart w:id="16" w:name="__RefHeading___doc_2"/>
      <w:r>
        <w:t>5.</w:t>
      </w:r>
      <w:r>
        <w:t>1. Определение</w:t>
      </w:r>
      <w:r>
        <w:t xml:space="preserve"> </w:t>
      </w:r>
    </w:p>
    <w:p w14:paraId="8C000000">
      <w:pPr>
        <w:pStyle w:val="Style_17"/>
      </w:pPr>
      <w:r>
        <w:t xml:space="preserve">Кариес зуба – это </w:t>
      </w:r>
      <w:r>
        <w:t>мультифакторное заболевание преимущественно микробного генеза, возникающее после прорезывания зубов, при котором в отсутствии адекватных лечебно-профилактических мер последовательно происходят деминерализация неорганических структур, разрушение органического матрикса эмали, деструкци</w:t>
      </w:r>
      <w:r>
        <w:t>я ТТЗ</w:t>
      </w:r>
      <w:r>
        <w:t xml:space="preserve"> (эмали, дентина, цемента) с образованием дефекта, возникает риск развития воспалительных осложнений со стороны пульпы и периодонта </w:t>
      </w:r>
      <w:r>
        <w:t>[</w:t>
      </w:r>
      <w:r>
        <w:t>4, 5, 6, 7, 8</w:t>
      </w:r>
      <w:r>
        <w:t>].</w:t>
      </w:r>
    </w:p>
    <w:p w14:paraId="8D000000">
      <w:bookmarkStart w:id="17" w:name="__RefHeading___7"/>
      <w:bookmarkEnd w:id="17"/>
      <w:pPr>
        <w:pStyle w:val="Style_18"/>
      </w:pPr>
      <w:r>
        <w:t>5.</w:t>
      </w:r>
      <w:r>
        <w:t>2</w:t>
      </w:r>
      <w:r>
        <w:t>.</w:t>
      </w:r>
      <w:r>
        <w:t xml:space="preserve"> Этиология и патогенез</w:t>
      </w:r>
    </w:p>
    <w:p w14:paraId="8E000000">
      <w:pPr>
        <w:pStyle w:val="Style_17"/>
      </w:pPr>
      <w:r>
        <w:t xml:space="preserve">Непосредственной причиной деминерализации эмали и деструкции </w:t>
      </w:r>
      <w:r>
        <w:t>ТТЗ</w:t>
      </w:r>
      <w:r>
        <w:t xml:space="preserve"> с образованием кариозного дефекта (полости) являются органические кислоты (в основном молочная), образующиеся микроорганизмами зубного налета</w:t>
      </w:r>
      <w:r>
        <w:t xml:space="preserve"> (ЗН)</w:t>
      </w:r>
      <w:r>
        <w:t xml:space="preserve">, в первую очередь, </w:t>
      </w:r>
      <w:r>
        <w:rPr>
          <w:i w:val="1"/>
        </w:rPr>
        <w:t>St</w:t>
      </w:r>
      <w:r>
        <w:rPr>
          <w:i w:val="1"/>
        </w:rPr>
        <w:t>r</w:t>
      </w:r>
      <w:r>
        <w:rPr>
          <w:i w:val="1"/>
        </w:rPr>
        <w:t xml:space="preserve">. </w:t>
      </w:r>
      <w:r>
        <w:rPr>
          <w:i w:val="1"/>
        </w:rPr>
        <w:t>m</w:t>
      </w:r>
      <w:r>
        <w:rPr>
          <w:i w:val="1"/>
        </w:rPr>
        <w:t>utans, St</w:t>
      </w:r>
      <w:r>
        <w:rPr>
          <w:i w:val="1"/>
        </w:rPr>
        <w:t>r</w:t>
      </w:r>
      <w:r>
        <w:rPr>
          <w:i w:val="1"/>
        </w:rPr>
        <w:t xml:space="preserve">. </w:t>
      </w:r>
      <w:r>
        <w:rPr>
          <w:i w:val="1"/>
        </w:rPr>
        <w:t>s</w:t>
      </w:r>
      <w:r>
        <w:rPr>
          <w:i w:val="1"/>
        </w:rPr>
        <w:t>anguis, St</w:t>
      </w:r>
      <w:r>
        <w:rPr>
          <w:i w:val="1"/>
        </w:rPr>
        <w:t>r</w:t>
      </w:r>
      <w:r>
        <w:rPr>
          <w:i w:val="1"/>
        </w:rPr>
        <w:t xml:space="preserve">. </w:t>
      </w:r>
      <w:r>
        <w:rPr>
          <w:i w:val="1"/>
        </w:rPr>
        <w:t>m</w:t>
      </w:r>
      <w:r>
        <w:rPr>
          <w:i w:val="1"/>
        </w:rPr>
        <w:t xml:space="preserve">itis, </w:t>
      </w:r>
      <w:r>
        <w:rPr>
          <w:i w:val="1"/>
          <w:highlight w:val="white"/>
        </w:rPr>
        <w:t xml:space="preserve">Lactobacillus </w:t>
      </w:r>
      <w:r>
        <w:rPr>
          <w:i w:val="1"/>
        </w:rPr>
        <w:t>acidophilus</w:t>
      </w:r>
      <w:r>
        <w:t>,</w:t>
      </w:r>
      <w:r>
        <w:t xml:space="preserve"> в процессе ферментации углеводов [</w:t>
      </w:r>
      <w:r>
        <w:t xml:space="preserve">3, 6, </w:t>
      </w:r>
      <w:r>
        <w:t>9, 10, 11, 12</w:t>
      </w:r>
      <w:r>
        <w:t>]</w:t>
      </w:r>
      <w:r>
        <w:t>.</w:t>
      </w:r>
      <w:r>
        <w:t xml:space="preserve"> При кариесе цемента помимо кариесогенной флоры обнаруживают также</w:t>
      </w:r>
      <w:r>
        <w:t xml:space="preserve"> следующую</w:t>
      </w:r>
      <w:r>
        <w:t xml:space="preserve"> патогенную флору: </w:t>
      </w:r>
      <w:r>
        <w:rPr>
          <w:i w:val="1"/>
        </w:rPr>
        <w:t>Prevotella int</w:t>
      </w:r>
      <w:r>
        <w:rPr>
          <w:i w:val="1"/>
        </w:rPr>
        <w:t>ermedia</w:t>
      </w:r>
      <w:r>
        <w:rPr>
          <w:i w:val="1"/>
        </w:rPr>
        <w:t>., Prevotella mel</w:t>
      </w:r>
      <w:r>
        <w:rPr>
          <w:i w:val="1"/>
        </w:rPr>
        <w:t>aninogenica</w:t>
      </w:r>
      <w:r>
        <w:rPr>
          <w:i w:val="1"/>
        </w:rPr>
        <w:t xml:space="preserve">, </w:t>
      </w:r>
      <w:r>
        <w:rPr>
          <w:i w:val="1"/>
        </w:rPr>
        <w:t>Fusobacterium</w:t>
      </w:r>
      <w:r>
        <w:rPr>
          <w:i w:val="1"/>
        </w:rPr>
        <w:t xml:space="preserve"> </w:t>
      </w:r>
      <w:r>
        <w:rPr>
          <w:i w:val="1"/>
        </w:rPr>
        <w:t>nuc</w:t>
      </w:r>
      <w:r>
        <w:rPr>
          <w:i w:val="1"/>
        </w:rPr>
        <w:t>leatum</w:t>
      </w:r>
      <w:r>
        <w:rPr>
          <w:i w:val="1"/>
        </w:rPr>
        <w:t xml:space="preserve">., </w:t>
      </w:r>
      <w:r>
        <w:rPr>
          <w:i w:val="1"/>
        </w:rPr>
        <w:t>Camp</w:t>
      </w:r>
      <w:r>
        <w:rPr>
          <w:i w:val="1"/>
        </w:rPr>
        <w:t>y</w:t>
      </w:r>
      <w:r>
        <w:rPr>
          <w:i w:val="1"/>
        </w:rPr>
        <w:t>lobacter</w:t>
      </w:r>
      <w:r>
        <w:rPr>
          <w:i w:val="1"/>
        </w:rPr>
        <w:t xml:space="preserve"> </w:t>
      </w:r>
      <w:r>
        <w:rPr>
          <w:i w:val="1"/>
        </w:rPr>
        <w:t>rect</w:t>
      </w:r>
      <w:r>
        <w:rPr>
          <w:i w:val="1"/>
        </w:rPr>
        <w:t>us</w:t>
      </w:r>
      <w:r>
        <w:rPr>
          <w:i w:val="1"/>
        </w:rPr>
        <w:t xml:space="preserve">, </w:t>
      </w:r>
      <w:r>
        <w:rPr>
          <w:i w:val="1"/>
        </w:rPr>
        <w:t>Capnocytophaga</w:t>
      </w:r>
      <w:r>
        <w:rPr>
          <w:i w:val="1"/>
        </w:rPr>
        <w:t xml:space="preserve"> </w:t>
      </w:r>
      <w:r>
        <w:rPr>
          <w:i w:val="1"/>
        </w:rPr>
        <w:t>spp</w:t>
      </w:r>
      <w:r>
        <w:rPr>
          <w:i w:val="1"/>
        </w:rPr>
        <w:t xml:space="preserve">., </w:t>
      </w:r>
      <w:r>
        <w:rPr>
          <w:i w:val="1"/>
        </w:rPr>
        <w:t>Act</w:t>
      </w:r>
      <w:r>
        <w:rPr>
          <w:i w:val="1"/>
        </w:rPr>
        <w:t>inomyces</w:t>
      </w:r>
      <w:r>
        <w:rPr>
          <w:i w:val="1"/>
        </w:rPr>
        <w:t xml:space="preserve"> </w:t>
      </w:r>
      <w:r>
        <w:rPr>
          <w:i w:val="1"/>
        </w:rPr>
        <w:t>viscosus</w:t>
      </w:r>
      <w:r>
        <w:rPr>
          <w:i w:val="1"/>
        </w:rPr>
        <w:t xml:space="preserve">, </w:t>
      </w:r>
      <w:r>
        <w:rPr>
          <w:i w:val="1"/>
        </w:rPr>
        <w:t>Actinomyces</w:t>
      </w:r>
      <w:r>
        <w:rPr>
          <w:i w:val="1"/>
        </w:rPr>
        <w:t xml:space="preserve"> </w:t>
      </w:r>
      <w:r>
        <w:rPr>
          <w:i w:val="1"/>
        </w:rPr>
        <w:t>naeslundi</w:t>
      </w:r>
      <w:r>
        <w:rPr>
          <w:i w:val="1"/>
        </w:rPr>
        <w:t>, Candida</w:t>
      </w:r>
      <w:r>
        <w:rPr>
          <w:i w:val="1"/>
        </w:rPr>
        <w:t xml:space="preserve"> </w:t>
      </w:r>
      <w:r>
        <w:rPr>
          <w:i w:val="1"/>
        </w:rPr>
        <w:t>spp</w:t>
      </w:r>
      <w:r>
        <w:t>.</w:t>
      </w:r>
      <w:r>
        <w:t xml:space="preserve"> [</w:t>
      </w:r>
      <w:r>
        <w:t>3, 9</w:t>
      </w:r>
      <w:r>
        <w:t>].</w:t>
      </w:r>
    </w:p>
    <w:p w14:paraId="8F000000">
      <w:pPr>
        <w:pStyle w:val="Style_17"/>
      </w:pPr>
      <w:r>
        <w:t xml:space="preserve">Качественные и количественные характеристики </w:t>
      </w:r>
      <w:r>
        <w:t>ЗН</w:t>
      </w:r>
      <w:r>
        <w:t xml:space="preserve">, характер и режим питания, </w:t>
      </w:r>
      <w:r>
        <w:t xml:space="preserve">уровень </w:t>
      </w:r>
      <w:r>
        <w:t>резистентност</w:t>
      </w:r>
      <w:r>
        <w:t>и</w:t>
      </w:r>
      <w:r>
        <w:t xml:space="preserve"> эмали, количеств</w:t>
      </w:r>
      <w:r>
        <w:t>енный</w:t>
      </w:r>
      <w:r>
        <w:t xml:space="preserve"> и качеств</w:t>
      </w:r>
      <w:r>
        <w:t>енный состав</w:t>
      </w:r>
      <w:r>
        <w:t xml:space="preserve"> ротовой жидкости, общее состояние </w:t>
      </w:r>
      <w:r>
        <w:t>системного здоровья</w:t>
      </w:r>
      <w:r>
        <w:t>, экзогенные воздействия на организм, концентрация фтора в питьевой воде</w:t>
      </w:r>
      <w:r>
        <w:t>, комплаентность / приверженность пациента к поддержанию гигиены полости рта (ГПР)</w:t>
      </w:r>
      <w:r>
        <w:t xml:space="preserve"> </w:t>
      </w:r>
      <w:r>
        <w:t>– эт</w:t>
      </w:r>
      <w:r>
        <w:t>о</w:t>
      </w:r>
      <w:r>
        <w:t xml:space="preserve"> основные кариесогенные факторы</w:t>
      </w:r>
      <w:r>
        <w:t>,</w:t>
      </w:r>
      <w:r>
        <w:t xml:space="preserve"> </w:t>
      </w:r>
      <w:r>
        <w:t>влияю</w:t>
      </w:r>
      <w:r>
        <w:t>щие</w:t>
      </w:r>
      <w:r>
        <w:t xml:space="preserve"> на возникновение очаг</w:t>
      </w:r>
      <w:r>
        <w:t>овой</w:t>
      </w:r>
      <w:r>
        <w:t xml:space="preserve"> деминерализации эмали</w:t>
      </w:r>
      <w:r>
        <w:t xml:space="preserve"> (ОДЭ)</w:t>
      </w:r>
      <w:r>
        <w:t xml:space="preserve">, </w:t>
      </w:r>
      <w:r>
        <w:t xml:space="preserve">дальнейшее </w:t>
      </w:r>
      <w:r>
        <w:t xml:space="preserve">прогрессирование </w:t>
      </w:r>
      <w:r>
        <w:t xml:space="preserve"> процесса и </w:t>
      </w:r>
      <w:r>
        <w:t>не</w:t>
      </w:r>
      <w:r>
        <w:t>возможность его стабилизации</w:t>
      </w:r>
      <w:r>
        <w:t xml:space="preserve"> [</w:t>
      </w:r>
      <w:r>
        <w:t>6, 9, 13</w:t>
      </w:r>
      <w:r>
        <w:t xml:space="preserve">, </w:t>
      </w:r>
      <w:r>
        <w:t>272</w:t>
      </w:r>
      <w:r>
        <w:t>]</w:t>
      </w:r>
      <w:r>
        <w:t>.</w:t>
      </w:r>
    </w:p>
    <w:p w14:paraId="90000000">
      <w:pPr>
        <w:pStyle w:val="Style_17"/>
      </w:pPr>
      <w:r>
        <w:t>В</w:t>
      </w:r>
      <w:r>
        <w:t>ыдел</w:t>
      </w:r>
      <w:r>
        <w:t>яют</w:t>
      </w:r>
      <w:r>
        <w:t xml:space="preserve"> следующие </w:t>
      </w:r>
      <w:r>
        <w:t>основные</w:t>
      </w:r>
      <w:r>
        <w:t xml:space="preserve"> патогенетические факторы и этапы возникновения</w:t>
      </w:r>
      <w:r>
        <w:t xml:space="preserve"> и развития</w:t>
      </w:r>
      <w:r>
        <w:t xml:space="preserve"> </w:t>
      </w:r>
      <w:r>
        <w:t>КЗ</w:t>
      </w:r>
      <w:r>
        <w:t xml:space="preserve">. Первый </w:t>
      </w:r>
      <w:r>
        <w:t>–</w:t>
      </w:r>
      <w:r>
        <w:t xml:space="preserve"> нарушени</w:t>
      </w:r>
      <w:r>
        <w:t>я</w:t>
      </w:r>
      <w:r>
        <w:t xml:space="preserve"> режима питания с </w:t>
      </w:r>
      <w:r>
        <w:t xml:space="preserve">частым нерегламентированным приемом в пищу </w:t>
      </w:r>
      <w:r>
        <w:t>легк</w:t>
      </w:r>
      <w:r>
        <w:t xml:space="preserve">о </w:t>
      </w:r>
      <w:r>
        <w:t>усваиваемых</w:t>
      </w:r>
      <w:r>
        <w:t xml:space="preserve"> углеводистых продуктов</w:t>
      </w:r>
      <w:r>
        <w:t xml:space="preserve"> как «идеального» субстрата для выработки кислот микроорганизмами </w:t>
      </w:r>
      <w:r>
        <w:t>ЗН</w:t>
      </w:r>
      <w:r>
        <w:t>.</w:t>
      </w:r>
      <w:r>
        <w:t xml:space="preserve"> Второй </w:t>
      </w:r>
      <w:r>
        <w:t>–</w:t>
      </w:r>
      <w:r>
        <w:t xml:space="preserve"> </w:t>
      </w:r>
      <w:r>
        <w:t>неудовлетворительная</w:t>
      </w:r>
      <w:r>
        <w:t xml:space="preserve"> </w:t>
      </w:r>
      <w:r>
        <w:t>ГПР</w:t>
      </w:r>
      <w:r>
        <w:t>, создаю</w:t>
      </w:r>
      <w:r>
        <w:t>щая</w:t>
      </w:r>
      <w:r>
        <w:t xml:space="preserve"> условия для </w:t>
      </w:r>
      <w:r>
        <w:t>образования</w:t>
      </w:r>
      <w:r>
        <w:t xml:space="preserve"> </w:t>
      </w:r>
      <w:r>
        <w:t>на поверхности зубов обильного</w:t>
      </w:r>
      <w:r>
        <w:t xml:space="preserve"> </w:t>
      </w:r>
      <w:r>
        <w:t>ЗН</w:t>
      </w:r>
      <w:r>
        <w:t xml:space="preserve"> с кислотообразующими микроорганизмами, активность которых приводит к локальному снижению </w:t>
      </w:r>
      <w:r>
        <w:t>pH</w:t>
      </w:r>
      <w:r>
        <w:t xml:space="preserve"> до критического уровня.</w:t>
      </w:r>
      <w:r>
        <w:t xml:space="preserve"> </w:t>
      </w:r>
      <w:r>
        <w:t>Третий</w:t>
      </w:r>
      <w:r>
        <w:t xml:space="preserve"> – </w:t>
      </w:r>
      <w:r>
        <w:t>«перемежающийся», а в дальнейшем постоянный процесс деминерализации эмали зуба с постепенным образованием подповерхностного поражения эмали</w:t>
      </w:r>
      <w:r>
        <w:t xml:space="preserve"> (стадия белого </w:t>
      </w:r>
      <w:r>
        <w:t xml:space="preserve">или </w:t>
      </w:r>
      <w:r>
        <w:t>мелового пятна)</w:t>
      </w:r>
      <w:r>
        <w:t xml:space="preserve">. Если процесс </w:t>
      </w:r>
      <w:r>
        <w:t xml:space="preserve">кислотообразования продолжается, и деминерализация эмали </w:t>
      </w:r>
      <w:r>
        <w:t>преобладает</w:t>
      </w:r>
      <w:r>
        <w:t xml:space="preserve"> над </w:t>
      </w:r>
      <w:r>
        <w:t xml:space="preserve">процессами </w:t>
      </w:r>
      <w:r>
        <w:t>реминерализаци</w:t>
      </w:r>
      <w:r>
        <w:t>и</w:t>
      </w:r>
      <w:r>
        <w:t xml:space="preserve">, то в эмали </w:t>
      </w:r>
      <w:r>
        <w:t>формируется дефект,</w:t>
      </w:r>
      <w:r>
        <w:t xml:space="preserve"> </w:t>
      </w:r>
      <w:r>
        <w:t>определяемый визуально (кариес эмали)</w:t>
      </w:r>
      <w:r>
        <w:t xml:space="preserve">. Четвертый </w:t>
      </w:r>
      <w:r>
        <w:t xml:space="preserve">– </w:t>
      </w:r>
      <w:r>
        <w:t xml:space="preserve">инвазия микроорганизмов в дентин с </w:t>
      </w:r>
      <w:r>
        <w:t>растворение</w:t>
      </w:r>
      <w:r>
        <w:t>м его</w:t>
      </w:r>
      <w:r>
        <w:t xml:space="preserve"> минеральной (склерозированной) части кислотообразующими бактериями</w:t>
      </w:r>
      <w:r>
        <w:t xml:space="preserve"> </w:t>
      </w:r>
      <w:r>
        <w:t>и</w:t>
      </w:r>
      <w:r>
        <w:t xml:space="preserve"> последующей</w:t>
      </w:r>
      <w:r>
        <w:t xml:space="preserve"> дезинтеграц</w:t>
      </w:r>
      <w:r>
        <w:t>ией</w:t>
      </w:r>
      <w:r>
        <w:t xml:space="preserve"> </w:t>
      </w:r>
      <w:r>
        <w:t xml:space="preserve">его </w:t>
      </w:r>
      <w:r>
        <w:t>органическ</w:t>
      </w:r>
      <w:r>
        <w:t>их компонентов</w:t>
      </w:r>
      <w:r>
        <w:t>. Пятый</w:t>
      </w:r>
      <w:r>
        <w:t xml:space="preserve"> –</w:t>
      </w:r>
      <w:r>
        <w:t xml:space="preserve"> распространение инфекции в пульпу зуба и периодонт. Шестой</w:t>
      </w:r>
      <w:r>
        <w:t xml:space="preserve"> –</w:t>
      </w:r>
      <w:r>
        <w:t xml:space="preserve"> </w:t>
      </w:r>
      <w:r>
        <w:t>утрата</w:t>
      </w:r>
      <w:r>
        <w:t xml:space="preserve"> зуба вследствие несвоевременного или неадекватного </w:t>
      </w:r>
      <w:r>
        <w:t xml:space="preserve">лечения </w:t>
      </w:r>
      <w:r>
        <w:t xml:space="preserve">КЗ </w:t>
      </w:r>
      <w:r>
        <w:t>без</w:t>
      </w:r>
      <w:r>
        <w:t xml:space="preserve"> устранени</w:t>
      </w:r>
      <w:r>
        <w:t>я</w:t>
      </w:r>
      <w:r>
        <w:t xml:space="preserve"> факторов кариесогенного риска</w:t>
      </w:r>
      <w:r>
        <w:t xml:space="preserve"> </w:t>
      </w:r>
      <w:r>
        <w:t xml:space="preserve">[3, 9, </w:t>
      </w:r>
      <w:r>
        <w:t xml:space="preserve">13, </w:t>
      </w:r>
      <w:r>
        <w:t>14]</w:t>
      </w:r>
      <w:r>
        <w:t>.</w:t>
      </w:r>
    </w:p>
    <w:p w14:paraId="91000000">
      <w:bookmarkStart w:id="18" w:name="__RefHeading___8"/>
      <w:bookmarkEnd w:id="18"/>
      <w:pPr>
        <w:pStyle w:val="Style_18"/>
      </w:pPr>
      <w:r>
        <w:t>5.</w:t>
      </w:r>
      <w:r>
        <w:t>3</w:t>
      </w:r>
      <w:r>
        <w:t>.</w:t>
      </w:r>
      <w:r>
        <w:t xml:space="preserve"> Эпидемиология</w:t>
      </w:r>
    </w:p>
    <w:p w14:paraId="92000000">
      <w:pPr>
        <w:pStyle w:val="Style_17"/>
      </w:pPr>
      <w:r>
        <w:t>По данным ВОЗ, к</w:t>
      </w:r>
      <w:r>
        <w:t>ариес зубов является наиболее распространенным заболеванием зубочелюстной системы</w:t>
      </w:r>
      <w:r>
        <w:t xml:space="preserve"> у населения большинства стран мира; население </w:t>
      </w:r>
      <w:r>
        <w:t xml:space="preserve">более чем </w:t>
      </w:r>
      <w:r>
        <w:t xml:space="preserve">180 стран мира относится к группам риска возникновения </w:t>
      </w:r>
      <w:r>
        <w:t>КЗ</w:t>
      </w:r>
      <w:r>
        <w:t xml:space="preserve"> </w:t>
      </w:r>
      <w:r>
        <w:rPr>
          <w:color w:val="000000"/>
        </w:rPr>
        <w:t>[</w:t>
      </w:r>
      <w:bookmarkStart w:id="19" w:name="_Hlk25235063"/>
      <w:r>
        <w:rPr>
          <w:color w:val="000000"/>
        </w:rPr>
        <w:t>5</w:t>
      </w:r>
      <w:r>
        <w:rPr>
          <w:color w:val="000000"/>
        </w:rPr>
        <w:t>]</w:t>
      </w:r>
      <w:bookmarkEnd w:id="19"/>
      <w:r>
        <w:t>.</w:t>
      </w:r>
      <w:r>
        <w:t xml:space="preserve"> </w:t>
      </w:r>
      <w:r>
        <w:rPr>
          <w:color w:themeColor="text1" w:val="000000"/>
        </w:rPr>
        <w:t xml:space="preserve">Кариес зубов </w:t>
      </w:r>
      <w:r>
        <w:rPr>
          <w:color w:themeColor="text1" w:val="000000"/>
        </w:rPr>
        <w:t xml:space="preserve">может </w:t>
      </w:r>
      <w:r>
        <w:rPr>
          <w:color w:themeColor="text1" w:val="000000"/>
        </w:rPr>
        <w:t>возника</w:t>
      </w:r>
      <w:r>
        <w:rPr>
          <w:color w:themeColor="text1" w:val="000000"/>
        </w:rPr>
        <w:t>ть</w:t>
      </w:r>
      <w:r>
        <w:rPr>
          <w:color w:themeColor="text1" w:val="000000"/>
        </w:rPr>
        <w:t xml:space="preserve"> в раннем детском возрасте</w:t>
      </w:r>
      <w:r>
        <w:rPr>
          <w:color w:themeColor="text1" w:val="000000"/>
        </w:rPr>
        <w:t xml:space="preserve"> [</w:t>
      </w:r>
      <w:r>
        <w:rPr>
          <w:color w:themeColor="text1" w:val="000000"/>
        </w:rPr>
        <w:t>15</w:t>
      </w:r>
      <w:r>
        <w:rPr>
          <w:color w:themeColor="text1" w:val="000000"/>
        </w:rPr>
        <w:t>, 16, 17, 18</w:t>
      </w:r>
      <w:r>
        <w:rPr>
          <w:color w:themeColor="text1" w:val="000000"/>
        </w:rPr>
        <w:t>]</w:t>
      </w:r>
      <w:r>
        <w:rPr>
          <w:color w:themeColor="text1" w:val="000000"/>
        </w:rPr>
        <w:t>,</w:t>
      </w:r>
      <w:r>
        <w:t xml:space="preserve"> </w:t>
      </w:r>
      <w:r>
        <w:t>е</w:t>
      </w:r>
      <w:r>
        <w:t>го р</w:t>
      </w:r>
      <w:r>
        <w:t xml:space="preserve">аспространенность увеличивается с возрастом и </w:t>
      </w:r>
      <w:r>
        <w:t xml:space="preserve">у взрослого населения в возрастной </w:t>
      </w:r>
      <w:r>
        <w:t xml:space="preserve">группе (35-44 года) достигает </w:t>
      </w:r>
      <w:r>
        <w:t>98-99</w:t>
      </w:r>
      <w:r>
        <w:t>%</w:t>
      </w:r>
      <w:r>
        <w:t xml:space="preserve"> </w:t>
      </w:r>
      <w:r>
        <w:t>[</w:t>
      </w:r>
      <w:r>
        <w:t>1, 5, 19, 20</w:t>
      </w:r>
      <w:r>
        <w:t>].</w:t>
      </w:r>
    </w:p>
    <w:p w14:paraId="93000000">
      <w:pPr>
        <w:pStyle w:val="Style_17"/>
      </w:pPr>
      <w:r>
        <w:t xml:space="preserve">Распространенность </w:t>
      </w:r>
      <w:r>
        <w:t>КЗ у населения Р</w:t>
      </w:r>
      <w:r>
        <w:t xml:space="preserve">оссийской </w:t>
      </w:r>
      <w:r>
        <w:t>Ф</w:t>
      </w:r>
      <w:r>
        <w:t>едерации</w:t>
      </w:r>
      <w:r>
        <w:t xml:space="preserve"> (РФ)</w:t>
      </w:r>
      <w:r>
        <w:t xml:space="preserve">, по </w:t>
      </w:r>
      <w:r>
        <w:t>данны</w:t>
      </w:r>
      <w:r>
        <w:t>м</w:t>
      </w:r>
      <w:r>
        <w:t xml:space="preserve"> национального эпидемиологического стоматологического обследования</w:t>
      </w:r>
      <w:r>
        <w:t>,</w:t>
      </w:r>
      <w:r>
        <w:t xml:space="preserve"> в ключевой группе 12-летних детей составила 72%</w:t>
      </w:r>
      <w:r>
        <w:t xml:space="preserve"> при</w:t>
      </w:r>
      <w:r>
        <w:t xml:space="preserve"> интенсивност</w:t>
      </w:r>
      <w:r>
        <w:t>и</w:t>
      </w:r>
      <w:r>
        <w:t xml:space="preserve"> </w:t>
      </w:r>
      <w:r>
        <w:t>2,51 з</w:t>
      </w:r>
      <w:r>
        <w:t>убов</w:t>
      </w:r>
      <w:r>
        <w:t>,</w:t>
      </w:r>
      <w:r>
        <w:t xml:space="preserve"> а</w:t>
      </w:r>
      <w:r>
        <w:t xml:space="preserve"> в группе взрослых </w:t>
      </w:r>
      <w:r>
        <w:t xml:space="preserve">в возрасте </w:t>
      </w:r>
      <w:r>
        <w:t>35-44</w:t>
      </w:r>
      <w:r>
        <w:t> </w:t>
      </w:r>
      <w:r>
        <w:t>г</w:t>
      </w:r>
      <w:r>
        <w:t>ода увеличилась до</w:t>
      </w:r>
      <w:r>
        <w:t xml:space="preserve"> 99%</w:t>
      </w:r>
      <w:r>
        <w:t xml:space="preserve"> при </w:t>
      </w:r>
      <w:r>
        <w:t>интенсивност</w:t>
      </w:r>
      <w:r>
        <w:t>и</w:t>
      </w:r>
      <w:r>
        <w:t xml:space="preserve"> 14,35</w:t>
      </w:r>
      <w:r>
        <w:t xml:space="preserve"> зубов</w:t>
      </w:r>
      <w:r>
        <w:t xml:space="preserve">. Распространенность и интенсивность </w:t>
      </w:r>
      <w:r>
        <w:t>КЗ</w:t>
      </w:r>
      <w:r>
        <w:t xml:space="preserve"> </w:t>
      </w:r>
      <w:r>
        <w:t>у населения, проживающего</w:t>
      </w:r>
      <w:r>
        <w:t xml:space="preserve"> в разных климато-географических зонах</w:t>
      </w:r>
      <w:r>
        <w:t>,</w:t>
      </w:r>
      <w:r>
        <w:t xml:space="preserve"> варьирует и</w:t>
      </w:r>
      <w:r>
        <w:t xml:space="preserve"> зависит</w:t>
      </w:r>
      <w:r>
        <w:t>,</w:t>
      </w:r>
      <w:r>
        <w:t xml:space="preserve"> в большей степени</w:t>
      </w:r>
      <w:r>
        <w:t>,</w:t>
      </w:r>
      <w:r>
        <w:t xml:space="preserve"> от содержания фторида в питьевой воде</w:t>
      </w:r>
      <w:r>
        <w:t xml:space="preserve"> [</w:t>
      </w:r>
      <w:r>
        <w:t>21</w:t>
      </w:r>
      <w:r>
        <w:t>,22</w:t>
      </w:r>
      <w:r>
        <w:t>]</w:t>
      </w:r>
      <w:r>
        <w:t>.</w:t>
      </w:r>
    </w:p>
    <w:p w14:paraId="94000000">
      <w:pPr>
        <w:pStyle w:val="Style_17"/>
      </w:pPr>
      <w:r>
        <w:t xml:space="preserve">Кариес зубов при несвоевременном или </w:t>
      </w:r>
      <w:r>
        <w:t>нерациональном</w:t>
      </w:r>
      <w:r>
        <w:t xml:space="preserve"> лечении может стать причиной развития воспалительных заболеваний пульпы и периодонта, потери зубов, развития гнойно-воспалительных процессов в челюстно-лицевой области, формирования очагов одонтогенного хрониосепсиса с последующей сенсибилизацией организма и развитием очагово-обусловленных системных заболеваний</w:t>
      </w:r>
      <w:r>
        <w:t xml:space="preserve"> </w:t>
      </w:r>
      <w:r>
        <w:t>[1, 6, 9, 22]</w:t>
      </w:r>
      <w:r>
        <w:t>.</w:t>
      </w:r>
    </w:p>
    <w:p w14:paraId="95000000">
      <w:pPr>
        <w:pStyle w:val="Style_17"/>
      </w:pPr>
      <w:r>
        <w:t xml:space="preserve">Несвоевременное лечение </w:t>
      </w:r>
      <w:r>
        <w:t>КЗ</w:t>
      </w:r>
      <w:r>
        <w:t>, а также удаление</w:t>
      </w:r>
      <w:r>
        <w:t xml:space="preserve"> зубов</w:t>
      </w:r>
      <w:r>
        <w:t xml:space="preserve"> </w:t>
      </w:r>
      <w:r>
        <w:t>по поводу</w:t>
      </w:r>
      <w:r>
        <w:t xml:space="preserve"> осложненного кариеса и иных его осложнений</w:t>
      </w:r>
      <w:r>
        <w:t>,</w:t>
      </w:r>
      <w:r>
        <w:t xml:space="preserve"> в свою очередь</w:t>
      </w:r>
      <w:r>
        <w:t>, могут</w:t>
      </w:r>
      <w:r>
        <w:t xml:space="preserve"> привод</w:t>
      </w:r>
      <w:r>
        <w:t>ить</w:t>
      </w:r>
      <w:r>
        <w:t xml:space="preserve"> к </w:t>
      </w:r>
      <w:r>
        <w:t>развитию</w:t>
      </w:r>
      <w:r>
        <w:t xml:space="preserve"> вторичн</w:t>
      </w:r>
      <w:r>
        <w:t>ых</w:t>
      </w:r>
      <w:r>
        <w:t xml:space="preserve"> деформаци</w:t>
      </w:r>
      <w:r>
        <w:t>й</w:t>
      </w:r>
      <w:r>
        <w:t xml:space="preserve"> зубных рядов и возникновению патологии височно-нижнечелюстного сустава.</w:t>
      </w:r>
    </w:p>
    <w:p w14:paraId="96000000">
      <w:pPr>
        <w:pStyle w:val="Style_17"/>
      </w:pPr>
      <w:r>
        <w:t xml:space="preserve">Кариес зубов непосредственным образом влияет на качество жизни </w:t>
      </w:r>
      <w:r>
        <w:t xml:space="preserve">стоматологического </w:t>
      </w:r>
      <w:r>
        <w:t xml:space="preserve">пациента, обусловливая нарушения процесса жевания вплоть до </w:t>
      </w:r>
      <w:r>
        <w:t>полной</w:t>
      </w:r>
      <w:r>
        <w:t xml:space="preserve"> утраты функции</w:t>
      </w:r>
      <w:r>
        <w:t xml:space="preserve"> жевания с последующим развитием заболеваний пищеварительной системы</w:t>
      </w:r>
      <w:r>
        <w:t>, формируя серьезные ограничения привычных пищевых рационов</w:t>
      </w:r>
      <w:r>
        <w:t>, проявляясь</w:t>
      </w:r>
      <w:r>
        <w:t xml:space="preserve">, </w:t>
      </w:r>
      <w:r>
        <w:t xml:space="preserve">в </w:t>
      </w:r>
      <w:r>
        <w:t>ряде случаев</w:t>
      </w:r>
      <w:r>
        <w:t>,</w:t>
      </w:r>
      <w:r>
        <w:t xml:space="preserve"> выраженным</w:t>
      </w:r>
      <w:r>
        <w:t xml:space="preserve">, </w:t>
      </w:r>
      <w:r>
        <w:t>требующим медикаментозного купирования</w:t>
      </w:r>
      <w:r>
        <w:t xml:space="preserve">, </w:t>
      </w:r>
      <w:r>
        <w:t>болевым симптомом</w:t>
      </w:r>
      <w:r>
        <w:t xml:space="preserve">, </w:t>
      </w:r>
      <w:r>
        <w:t>а также заметными эстетическими нарушениями в зоне улыбки</w:t>
      </w:r>
      <w:r>
        <w:t xml:space="preserve"> </w:t>
      </w:r>
      <w:r>
        <w:t>[</w:t>
      </w:r>
      <w:r>
        <w:t>283-285</w:t>
      </w:r>
      <w:r>
        <w:t>]</w:t>
      </w:r>
      <w:r>
        <w:t>.</w:t>
      </w:r>
    </w:p>
    <w:p w14:paraId="97000000">
      <w:pPr>
        <w:pStyle w:val="Style_17"/>
      </w:pPr>
      <w:r>
        <w:t xml:space="preserve">ВОЗ определяет </w:t>
      </w:r>
      <w:r>
        <w:t>КЗ</w:t>
      </w:r>
      <w:r>
        <w:t xml:space="preserve"> как социально значимое заболевание, которое </w:t>
      </w:r>
      <w:r>
        <w:t>с высокой распространенностью возникает у населения различных стран, может проявляться в разных в</w:t>
      </w:r>
      <w:r>
        <w:t xml:space="preserve">озрастных группах, </w:t>
      </w:r>
      <w:r>
        <w:t xml:space="preserve">негативно </w:t>
      </w:r>
      <w:r>
        <w:t>влияет</w:t>
      </w:r>
      <w:r>
        <w:t xml:space="preserve"> как на стоматологическое</w:t>
      </w:r>
      <w:r>
        <w:t xml:space="preserve">, </w:t>
      </w:r>
      <w:r>
        <w:t xml:space="preserve">так и </w:t>
      </w:r>
      <w:r>
        <w:t>на</w:t>
      </w:r>
      <w:r>
        <w:t xml:space="preserve"> системное</w:t>
      </w:r>
      <w:r>
        <w:t xml:space="preserve"> здоровье</w:t>
      </w:r>
      <w:r>
        <w:t>,</w:t>
      </w:r>
      <w:r>
        <w:t xml:space="preserve"> а также</w:t>
      </w:r>
      <w:r>
        <w:t xml:space="preserve"> на</w:t>
      </w:r>
      <w:r>
        <w:t xml:space="preserve"> </w:t>
      </w:r>
      <w:r>
        <w:t>качество жизни</w:t>
      </w:r>
      <w:r>
        <w:t xml:space="preserve"> человека</w:t>
      </w:r>
      <w:r>
        <w:t xml:space="preserve"> [5, 19, 21]</w:t>
      </w:r>
      <w:r>
        <w:t>.</w:t>
      </w:r>
    </w:p>
    <w:p w14:paraId="98000000">
      <w:bookmarkStart w:id="20" w:name="__RefHeading___9"/>
      <w:bookmarkEnd w:id="20"/>
      <w:pPr>
        <w:pStyle w:val="Style_18"/>
      </w:pPr>
      <w:r>
        <w:t>5.</w:t>
      </w:r>
      <w:r>
        <w:t>4</w:t>
      </w:r>
      <w:r>
        <w:t xml:space="preserve">. </w:t>
      </w:r>
      <w:r>
        <w:t>Особенности</w:t>
      </w:r>
      <w:r>
        <w:t xml:space="preserve"> </w:t>
      </w:r>
      <w:r>
        <w:t>к</w:t>
      </w:r>
      <w:r>
        <w:t>одировани</w:t>
      </w:r>
      <w:r>
        <w:t>я</w:t>
      </w:r>
      <w:r>
        <w:t xml:space="preserve"> по МКБ 10</w:t>
      </w:r>
    </w:p>
    <w:p w14:paraId="99000000">
      <w:pPr>
        <w:pStyle w:val="Style_17"/>
        <w:rPr>
          <w:b w:val="1"/>
          <w:color w:val="000000"/>
        </w:rPr>
      </w:pPr>
      <w:r>
        <w:rPr>
          <w:b w:val="1"/>
        </w:rPr>
        <w:t>Кариес зубов</w:t>
      </w:r>
      <w:r>
        <w:rPr>
          <w:b w:val="1"/>
        </w:rPr>
        <w:t> </w:t>
      </w:r>
      <w:r>
        <w:rPr>
          <w:b w:val="1"/>
        </w:rPr>
        <w:t>(</w:t>
      </w:r>
      <w:r>
        <w:rPr>
          <w:b w:val="1"/>
        </w:rPr>
        <w:t>K</w:t>
      </w:r>
      <w:r>
        <w:rPr>
          <w:b w:val="1"/>
        </w:rPr>
        <w:t>02)</w:t>
      </w:r>
      <w:r>
        <w:rPr>
          <w:b w:val="1"/>
        </w:rPr>
        <w:t xml:space="preserve"> </w:t>
      </w:r>
      <w:r>
        <w:rPr>
          <w:b w:val="1"/>
        </w:rPr>
        <w:t>[1, 5, 23, 24]</w:t>
      </w:r>
      <w:r>
        <w:rPr>
          <w:b w:val="1"/>
        </w:rPr>
        <w:t xml:space="preserve">: </w:t>
      </w:r>
    </w:p>
    <w:p w14:paraId="9A000000">
      <w:pPr>
        <w:pStyle w:val="Style_17"/>
        <w:widowControl w:val="1"/>
        <w:ind w:left="708"/>
      </w:pPr>
      <w:r>
        <w:t>К02.0 –Кариес эмали. Стадия "белого (мелового) пятна" [начальный кариес]</w:t>
      </w:r>
      <w:r>
        <w:t>;</w:t>
      </w:r>
    </w:p>
    <w:p w14:paraId="9B000000">
      <w:pPr>
        <w:pStyle w:val="Style_17"/>
        <w:widowControl w:val="1"/>
        <w:ind w:left="708"/>
      </w:pPr>
      <w:r>
        <w:t>K02.1 –Кариес дентина</w:t>
      </w:r>
      <w:r>
        <w:t>;</w:t>
      </w:r>
    </w:p>
    <w:p w14:paraId="9C000000">
      <w:pPr>
        <w:pStyle w:val="Style_17"/>
        <w:widowControl w:val="1"/>
        <w:ind w:left="708"/>
      </w:pPr>
      <w:r>
        <w:t>К02.2 –Кариес цемента</w:t>
      </w:r>
      <w:r>
        <w:t>;</w:t>
      </w:r>
    </w:p>
    <w:p w14:paraId="9D000000">
      <w:pPr>
        <w:pStyle w:val="Style_17"/>
        <w:widowControl w:val="1"/>
        <w:ind w:left="708"/>
      </w:pPr>
      <w:r>
        <w:t>К02.3 –Приостановившийся кариес зубов</w:t>
      </w:r>
      <w:r>
        <w:t>;</w:t>
      </w:r>
    </w:p>
    <w:p w14:paraId="9E000000">
      <w:pPr>
        <w:pStyle w:val="Style_17"/>
        <w:widowControl w:val="1"/>
        <w:ind w:left="708"/>
      </w:pPr>
      <w:r>
        <w:t>К02.4 –Одонтоклазия</w:t>
      </w:r>
      <w:r>
        <w:t>;</w:t>
      </w:r>
    </w:p>
    <w:p w14:paraId="9F000000">
      <w:pPr>
        <w:pStyle w:val="Style_17"/>
        <w:widowControl w:val="1"/>
        <w:ind w:left="708"/>
      </w:pPr>
      <w:r>
        <w:t>К02.5 – Кариес с обнажением пульпы</w:t>
      </w:r>
      <w:r>
        <w:t>;</w:t>
      </w:r>
    </w:p>
    <w:p w14:paraId="A0000000">
      <w:pPr>
        <w:pStyle w:val="Style_17"/>
        <w:widowControl w:val="1"/>
        <w:ind w:left="708"/>
      </w:pPr>
      <w:r>
        <w:t>К02.8 –Другой кариес зубов</w:t>
      </w:r>
      <w:r>
        <w:t>;</w:t>
      </w:r>
    </w:p>
    <w:p w14:paraId="A1000000">
      <w:pPr>
        <w:pStyle w:val="Style_17"/>
        <w:widowControl w:val="1"/>
        <w:ind w:left="708"/>
      </w:pPr>
      <w:r>
        <w:t>К02.9 –Кариес зубов неуточненный</w:t>
      </w:r>
      <w:r>
        <w:t>.</w:t>
      </w:r>
    </w:p>
    <w:p w14:paraId="A2000000">
      <w:bookmarkStart w:id="21" w:name="__RefHeading___10"/>
      <w:bookmarkEnd w:id="21"/>
      <w:pPr>
        <w:pStyle w:val="Style_18"/>
      </w:pPr>
      <w:r>
        <w:t>5</w:t>
      </w:r>
      <w:r>
        <w:t>.</w:t>
      </w:r>
      <w:r>
        <w:t>5</w:t>
      </w:r>
      <w:r>
        <w:t xml:space="preserve"> Классификация</w:t>
      </w:r>
    </w:p>
    <w:p w14:paraId="A3000000">
      <w:pPr>
        <w:widowControl w:val="1"/>
        <w:spacing w:after="120" w:line="240" w:lineRule="auto"/>
        <w:ind w:firstLine="708"/>
        <w:jc w:val="left"/>
        <w:rPr>
          <w:color w:val="252A2F"/>
        </w:rPr>
      </w:pPr>
      <w:r>
        <w:rPr>
          <w:b w:val="1"/>
          <w:color w:val="252A2F"/>
        </w:rPr>
        <w:t> </w:t>
      </w:r>
      <w:r>
        <w:rPr>
          <w:b w:val="1"/>
          <w:color w:val="252A2F"/>
        </w:rPr>
        <w:t>Классификация по локализации:</w:t>
      </w:r>
    </w:p>
    <w:p w14:paraId="A4000000">
      <w:pPr>
        <w:widowControl w:val="1"/>
        <w:spacing w:after="120" w:line="240" w:lineRule="auto"/>
        <w:ind w:firstLine="0" w:left="1416"/>
        <w:jc w:val="left"/>
        <w:rPr>
          <w:color w:val="252A2F"/>
        </w:rPr>
      </w:pPr>
      <w:r>
        <w:rPr>
          <w:color w:val="252A2F"/>
        </w:rPr>
        <w:t>1) Фиссурный кариес;</w:t>
      </w:r>
    </w:p>
    <w:p w14:paraId="A5000000">
      <w:pPr>
        <w:widowControl w:val="1"/>
        <w:spacing w:after="120" w:line="240" w:lineRule="auto"/>
        <w:ind w:firstLine="0" w:left="1416"/>
        <w:jc w:val="left"/>
        <w:rPr>
          <w:color w:val="252A2F"/>
        </w:rPr>
      </w:pPr>
      <w:r>
        <w:rPr>
          <w:color w:val="252A2F"/>
        </w:rPr>
        <w:t>2) Контактный (апроксимальный) кариес;</w:t>
      </w:r>
    </w:p>
    <w:p w14:paraId="A6000000">
      <w:pPr>
        <w:widowControl w:val="1"/>
        <w:spacing w:after="120" w:line="240" w:lineRule="auto"/>
        <w:ind w:firstLine="0" w:left="1416"/>
        <w:jc w:val="left"/>
        <w:rPr>
          <w:color w:val="252A2F"/>
        </w:rPr>
      </w:pPr>
      <w:r>
        <w:rPr>
          <w:color w:val="252A2F"/>
        </w:rPr>
        <w:t>3) Пришеечный (цервикальный) кариес;</w:t>
      </w:r>
    </w:p>
    <w:p w14:paraId="A7000000">
      <w:pPr>
        <w:widowControl w:val="1"/>
        <w:spacing w:after="120" w:line="240" w:lineRule="auto"/>
        <w:ind w:firstLine="0" w:left="1416"/>
        <w:jc w:val="left"/>
        <w:rPr>
          <w:color w:val="252A2F"/>
        </w:rPr>
      </w:pPr>
      <w:r>
        <w:rPr>
          <w:color w:val="252A2F"/>
        </w:rPr>
        <w:t>4) Циркулярный (кольцевой) кариес.</w:t>
      </w:r>
    </w:p>
    <w:p w14:paraId="A8000000">
      <w:pPr>
        <w:widowControl w:val="1"/>
        <w:spacing w:after="120" w:line="240" w:lineRule="auto"/>
        <w:ind w:firstLine="708"/>
        <w:jc w:val="left"/>
        <w:rPr>
          <w:color w:val="252A2F"/>
        </w:rPr>
      </w:pPr>
      <w:r>
        <w:rPr>
          <w:b w:val="1"/>
          <w:color w:val="252A2F"/>
        </w:rPr>
        <w:t xml:space="preserve"> Классификация по течению:</w:t>
      </w:r>
    </w:p>
    <w:p w14:paraId="A9000000">
      <w:pPr>
        <w:widowControl w:val="1"/>
        <w:spacing w:after="120" w:line="240" w:lineRule="auto"/>
        <w:ind w:firstLine="0" w:left="1416"/>
        <w:jc w:val="left"/>
        <w:rPr>
          <w:color w:val="252A2F"/>
        </w:rPr>
      </w:pPr>
      <w:r>
        <w:rPr>
          <w:color w:val="252A2F"/>
        </w:rPr>
        <w:t>1) Острый кариес;</w:t>
      </w:r>
    </w:p>
    <w:p w14:paraId="AA000000">
      <w:pPr>
        <w:widowControl w:val="1"/>
        <w:spacing w:after="120" w:line="240" w:lineRule="auto"/>
        <w:ind w:firstLine="0" w:left="1416"/>
        <w:jc w:val="left"/>
        <w:rPr>
          <w:color w:val="252A2F"/>
        </w:rPr>
      </w:pPr>
      <w:r>
        <w:rPr>
          <w:color w:val="252A2F"/>
        </w:rPr>
        <w:t>2) Хронический кариес;</w:t>
      </w:r>
    </w:p>
    <w:p w14:paraId="AB000000">
      <w:pPr>
        <w:widowControl w:val="1"/>
        <w:spacing w:after="120" w:line="240" w:lineRule="auto"/>
        <w:ind w:firstLine="0" w:left="1416"/>
        <w:jc w:val="left"/>
        <w:rPr>
          <w:color w:val="252A2F"/>
        </w:rPr>
      </w:pPr>
      <w:r>
        <w:rPr>
          <w:color w:val="252A2F"/>
        </w:rPr>
        <w:t>3) Острейший кариес;</w:t>
      </w:r>
    </w:p>
    <w:p w14:paraId="AC000000">
      <w:pPr>
        <w:widowControl w:val="1"/>
        <w:spacing w:after="120" w:line="240" w:lineRule="auto"/>
        <w:ind w:firstLine="0" w:left="1416"/>
        <w:jc w:val="left"/>
        <w:rPr>
          <w:color w:val="252A2F"/>
        </w:rPr>
      </w:pPr>
      <w:r>
        <w:rPr>
          <w:color w:val="252A2F"/>
        </w:rPr>
        <w:t>4) Цветущий кариес;</w:t>
      </w:r>
    </w:p>
    <w:p w14:paraId="AD000000">
      <w:pPr>
        <w:widowControl w:val="1"/>
        <w:spacing w:after="120" w:line="240" w:lineRule="auto"/>
        <w:ind w:firstLine="0" w:left="1416"/>
        <w:jc w:val="left"/>
        <w:rPr>
          <w:color w:val="252A2F"/>
        </w:rPr>
      </w:pPr>
      <w:r>
        <w:rPr>
          <w:color w:val="252A2F"/>
        </w:rPr>
        <w:t>5) Рецидивирующий (вторичный) кариес.</w:t>
      </w:r>
    </w:p>
    <w:p w14:paraId="AE000000">
      <w:pPr>
        <w:widowControl w:val="1"/>
        <w:spacing w:after="120" w:line="240" w:lineRule="auto"/>
        <w:ind w:firstLine="708"/>
        <w:jc w:val="left"/>
        <w:rPr>
          <w:color w:val="252A2F"/>
        </w:rPr>
      </w:pPr>
      <w:r>
        <w:rPr>
          <w:b w:val="1"/>
          <w:color w:val="252A2F"/>
        </w:rPr>
        <w:t xml:space="preserve"> Классификация по интенсивности поражения:</w:t>
      </w:r>
    </w:p>
    <w:p w14:paraId="AF000000">
      <w:pPr>
        <w:widowControl w:val="1"/>
        <w:spacing w:after="120" w:line="240" w:lineRule="auto"/>
        <w:ind w:firstLine="0" w:left="1416"/>
        <w:jc w:val="left"/>
        <w:rPr>
          <w:color w:val="252A2F"/>
        </w:rPr>
      </w:pPr>
      <w:r>
        <w:rPr>
          <w:color w:val="252A2F"/>
        </w:rPr>
        <w:t>1) Одиночные поражения;</w:t>
      </w:r>
    </w:p>
    <w:p w14:paraId="B0000000">
      <w:pPr>
        <w:widowControl w:val="1"/>
        <w:spacing w:after="120" w:line="240" w:lineRule="auto"/>
        <w:ind w:firstLine="0" w:left="1416"/>
        <w:jc w:val="left"/>
        <w:rPr>
          <w:color w:val="252A2F"/>
        </w:rPr>
      </w:pPr>
      <w:r>
        <w:rPr>
          <w:color w:val="252A2F"/>
        </w:rPr>
        <w:t>2) Множественные поражения.</w:t>
      </w:r>
    </w:p>
    <w:p w14:paraId="B1000000">
      <w:pPr>
        <w:pStyle w:val="Style_19"/>
        <w:widowControl w:val="1"/>
        <w:spacing w:before="0"/>
        <w:ind/>
        <w:rPr>
          <w:b w:val="0"/>
        </w:rPr>
      </w:pPr>
      <w:r>
        <w:rPr>
          <w:u w:val="none"/>
        </w:rPr>
        <w:t>Топографическая классификация кариеса</w:t>
      </w:r>
    </w:p>
    <w:p w14:paraId="B2000000">
      <w:pPr>
        <w:widowControl w:val="1"/>
        <w:ind/>
        <w:outlineLvl w:val="3"/>
      </w:pPr>
      <w:r>
        <w:t xml:space="preserve">Кариес в стадии пятна (macula cariosa) </w:t>
      </w:r>
    </w:p>
    <w:p w14:paraId="B3000000">
      <w:pPr>
        <w:widowControl w:val="1"/>
        <w:ind/>
        <w:outlineLvl w:val="3"/>
      </w:pPr>
      <w:r>
        <w:t xml:space="preserve">Поверхностный кариес (caries superficialis) </w:t>
      </w:r>
    </w:p>
    <w:p w14:paraId="B4000000">
      <w:pPr>
        <w:widowControl w:val="1"/>
        <w:ind/>
        <w:outlineLvl w:val="3"/>
      </w:pPr>
      <w:r>
        <w:t xml:space="preserve">Средний кариес (caries media) </w:t>
      </w:r>
    </w:p>
    <w:p w14:paraId="B5000000">
      <w:pPr>
        <w:widowControl w:val="1"/>
        <w:ind/>
        <w:outlineLvl w:val="3"/>
      </w:pPr>
      <w:r>
        <w:t xml:space="preserve">Глубокий кариес (caries profunda) </w:t>
      </w:r>
    </w:p>
    <w:p w14:paraId="B6000000">
      <w:pPr>
        <w:widowControl w:val="1"/>
        <w:ind/>
        <w:outlineLvl w:val="3"/>
      </w:pPr>
      <w:r>
        <w:rPr>
          <w:b w:val="1"/>
          <w:color w:val="00000A"/>
        </w:rPr>
        <w:t>Модифицированная классификация кариозных поражений по локализации (по Блеку)</w:t>
      </w:r>
    </w:p>
    <w:p w14:paraId="B7000000">
      <w:pPr>
        <w:rPr>
          <w:color w:val="00000A"/>
        </w:rPr>
      </w:pPr>
      <w:r>
        <w:t>Класс I - полости, локализующиеся в области фиссур и естественных углублений резцов, клыков, моляров и премоляров.</w:t>
      </w:r>
    </w:p>
    <w:p w14:paraId="B8000000">
      <w:r>
        <w:t>Класс II - полости, расположенные на контактной поверхности моляров и премоляров.</w:t>
      </w:r>
    </w:p>
    <w:p w14:paraId="B9000000">
      <w:r>
        <w:t>Класс III - полости, расположенные на контактной поверхности резцов и клыков без нарушения режущего края.</w:t>
      </w:r>
    </w:p>
    <w:p w14:paraId="BA000000">
      <w:r>
        <w:t>Класс IV - полости, расположенные на контактной поверхности резцов и клыков с нарушением угла коронковой части зуба и его режущего края.</w:t>
      </w:r>
    </w:p>
    <w:p w14:paraId="BB000000">
      <w:r>
        <w:t>Класс V - полости, расположенные в пришеечной области всех групп зубов.</w:t>
      </w:r>
    </w:p>
    <w:p w14:paraId="BC000000">
      <w:r>
        <w:t>Класс VI - полости, расположенные на буграх моляров и премоляров и режущих краях резцов и клыков. [1].</w:t>
      </w:r>
    </w:p>
    <w:p w14:paraId="BD000000">
      <w:pPr>
        <w:widowControl w:val="1"/>
        <w:ind/>
        <w:outlineLvl w:val="3"/>
      </w:pPr>
    </w:p>
    <w:p w14:paraId="BE000000">
      <w:pPr>
        <w:pStyle w:val="Style_17"/>
        <w:rPr>
          <w:b w:val="1"/>
        </w:rPr>
      </w:pPr>
      <w:r>
        <w:rPr>
          <w:b w:val="1"/>
        </w:rPr>
        <w:t>Международная</w:t>
      </w:r>
      <w:r>
        <w:rPr>
          <w:b w:val="1"/>
        </w:rPr>
        <w:t xml:space="preserve"> </w:t>
      </w:r>
      <w:r>
        <w:rPr>
          <w:b w:val="1"/>
        </w:rPr>
        <w:t>система</w:t>
      </w:r>
      <w:r>
        <w:rPr>
          <w:b w:val="1"/>
        </w:rPr>
        <w:t xml:space="preserve"> </w:t>
      </w:r>
      <w:r>
        <w:rPr>
          <w:b w:val="1"/>
        </w:rPr>
        <w:t xml:space="preserve">диагностики и оценки </w:t>
      </w:r>
      <w:r>
        <w:rPr>
          <w:b w:val="1"/>
        </w:rPr>
        <w:t>кариеса</w:t>
      </w:r>
      <w:r>
        <w:rPr>
          <w:b w:val="1"/>
        </w:rPr>
        <w:t xml:space="preserve"> </w:t>
      </w:r>
      <w:r>
        <w:rPr>
          <w:b w:val="1"/>
        </w:rPr>
        <w:t>зубов</w:t>
      </w:r>
      <w:r>
        <w:rPr>
          <w:b w:val="1"/>
        </w:rPr>
        <w:t xml:space="preserve"> – </w:t>
      </w:r>
      <w:r>
        <w:rPr>
          <w:b w:val="1"/>
        </w:rPr>
        <w:t>International</w:t>
      </w:r>
      <w:r>
        <w:rPr>
          <w:b w:val="1"/>
        </w:rPr>
        <w:t xml:space="preserve"> </w:t>
      </w:r>
      <w:r>
        <w:rPr>
          <w:b w:val="1"/>
        </w:rPr>
        <w:t>caries</w:t>
      </w:r>
      <w:r>
        <w:rPr>
          <w:b w:val="1"/>
        </w:rPr>
        <w:t xml:space="preserve"> </w:t>
      </w:r>
      <w:r>
        <w:rPr>
          <w:b w:val="1"/>
        </w:rPr>
        <w:t>detection</w:t>
      </w:r>
      <w:r>
        <w:rPr>
          <w:b w:val="1"/>
        </w:rPr>
        <w:t xml:space="preserve"> </w:t>
      </w:r>
      <w:r>
        <w:rPr>
          <w:b w:val="1"/>
        </w:rPr>
        <w:t>and</w:t>
      </w:r>
      <w:r>
        <w:rPr>
          <w:b w:val="1"/>
        </w:rPr>
        <w:t xml:space="preserve"> </w:t>
      </w:r>
      <w:r>
        <w:rPr>
          <w:b w:val="1"/>
        </w:rPr>
        <w:t>assessment</w:t>
      </w:r>
      <w:r>
        <w:rPr>
          <w:b w:val="1"/>
        </w:rPr>
        <w:t xml:space="preserve"> </w:t>
      </w:r>
      <w:r>
        <w:rPr>
          <w:b w:val="1"/>
        </w:rPr>
        <w:t>system</w:t>
      </w:r>
      <w:r>
        <w:rPr>
          <w:b w:val="1"/>
        </w:rPr>
        <w:t xml:space="preserve"> (</w:t>
      </w:r>
      <w:r>
        <w:rPr>
          <w:b w:val="1"/>
        </w:rPr>
        <w:t>ICDAS</w:t>
      </w:r>
      <w:r>
        <w:rPr>
          <w:b w:val="1"/>
        </w:rPr>
        <w:t xml:space="preserve"> </w:t>
      </w:r>
      <w:r>
        <w:rPr>
          <w:b w:val="1"/>
        </w:rPr>
        <w:t>II</w:t>
      </w:r>
      <w:r>
        <w:rPr>
          <w:b w:val="1"/>
        </w:rPr>
        <w:t>)</w:t>
      </w:r>
      <w:r>
        <w:rPr>
          <w:b w:val="1"/>
        </w:rPr>
        <w:t xml:space="preserve"> [26-32</w:t>
      </w:r>
      <w:r>
        <w:rPr>
          <w:b w:val="1"/>
        </w:rPr>
        <w:t>, 273</w:t>
      </w:r>
      <w:r>
        <w:rPr>
          <w:b w:val="1"/>
        </w:rPr>
        <w:t>]:</w:t>
      </w:r>
    </w:p>
    <w:p w14:paraId="BF000000">
      <w:pPr>
        <w:pStyle w:val="Style_17"/>
        <w:widowControl w:val="1"/>
        <w:ind w:firstLine="0" w:left="709"/>
      </w:pPr>
      <w:r>
        <w:t>Код 0 – здоровая эмаль зуба (светлая прозрачная эмаль)</w:t>
      </w:r>
      <w:r>
        <w:t>;</w:t>
      </w:r>
    </w:p>
    <w:p w14:paraId="C0000000">
      <w:pPr>
        <w:pStyle w:val="Style_17"/>
        <w:widowControl w:val="1"/>
        <w:ind w:firstLine="0" w:left="709"/>
      </w:pPr>
      <w:r>
        <w:t>Код</w:t>
      </w:r>
      <w:r>
        <w:t> </w:t>
      </w:r>
      <w:r>
        <w:t>1 – первые</w:t>
      </w:r>
      <w:r>
        <w:t>,</w:t>
      </w:r>
      <w:r>
        <w:t xml:space="preserve"> видимые </w:t>
      </w:r>
      <w:r>
        <w:t>только после высушивания и окрашивания</w:t>
      </w:r>
      <w:r>
        <w:t>,</w:t>
      </w:r>
      <w:r>
        <w:t xml:space="preserve"> </w:t>
      </w:r>
      <w:r>
        <w:t xml:space="preserve">изменения на </w:t>
      </w:r>
      <w:r>
        <w:t xml:space="preserve">поверхности </w:t>
      </w:r>
      <w:r>
        <w:t>эмали зуба</w:t>
      </w:r>
      <w:r>
        <w:t>, не выходящие за пределы фиссур и слепых ямок</w:t>
      </w:r>
      <w:r>
        <w:t>;</w:t>
      </w:r>
    </w:p>
    <w:p w14:paraId="C1000000">
      <w:pPr>
        <w:pStyle w:val="Style_17"/>
        <w:widowControl w:val="1"/>
        <w:ind w:firstLine="0" w:left="709"/>
      </w:pPr>
      <w:r>
        <w:t>Код 2 – четк</w:t>
      </w:r>
      <w:r>
        <w:t>о</w:t>
      </w:r>
      <w:r>
        <w:t xml:space="preserve"> видимые изменения </w:t>
      </w:r>
      <w:r>
        <w:t>поверхности эмали зуба, определяемые без предварительного высушивания (белые или пигментированные), выходящие за пределы фиссуры / ямки</w:t>
      </w:r>
      <w:r>
        <w:t>;</w:t>
      </w:r>
    </w:p>
    <w:p w14:paraId="C2000000">
      <w:pPr>
        <w:pStyle w:val="Style_17"/>
        <w:widowControl w:val="1"/>
        <w:ind w:firstLine="0" w:left="709"/>
      </w:pPr>
      <w:r>
        <w:t>Код 3 - локал</w:t>
      </w:r>
      <w:r>
        <w:t>ьное</w:t>
      </w:r>
      <w:r>
        <w:t xml:space="preserve"> разрушение эмали</w:t>
      </w:r>
      <w:r>
        <w:t xml:space="preserve"> без видимых признаков поражения дентина или с его легким просвечиванием, неоднородная поверхность эмали, расширение фиссур</w:t>
      </w:r>
      <w:r>
        <w:t>;</w:t>
      </w:r>
    </w:p>
    <w:p w14:paraId="C3000000">
      <w:pPr>
        <w:pStyle w:val="Style_17"/>
        <w:widowControl w:val="1"/>
        <w:ind w:firstLine="0" w:left="709"/>
      </w:pPr>
      <w:r>
        <w:t>Код 4 –</w:t>
      </w:r>
      <w:r>
        <w:t>просвечивающи</w:t>
      </w:r>
      <w:r>
        <w:t>й</w:t>
      </w:r>
      <w:r>
        <w:t xml:space="preserve"> потемневши</w:t>
      </w:r>
      <w:r>
        <w:t>й</w:t>
      </w:r>
      <w:r>
        <w:t xml:space="preserve"> дентин</w:t>
      </w:r>
      <w:r>
        <w:t>, с или без локального разрушения эмали</w:t>
      </w:r>
      <w:r>
        <w:t>;</w:t>
      </w:r>
    </w:p>
    <w:p w14:paraId="C4000000">
      <w:pPr>
        <w:pStyle w:val="Style_17"/>
        <w:widowControl w:val="1"/>
        <w:ind w:firstLine="0" w:left="709"/>
      </w:pPr>
      <w:r>
        <w:t>Код 5 –</w:t>
      </w:r>
      <w:r>
        <w:t xml:space="preserve"> </w:t>
      </w:r>
      <w:r>
        <w:t>кариозная полость,</w:t>
      </w:r>
      <w:r>
        <w:t xml:space="preserve"> заполненная </w:t>
      </w:r>
      <w:r>
        <w:t>размягченным дентином</w:t>
      </w:r>
      <w:r>
        <w:t>, с вовлечением менее 50% поверхности зуба</w:t>
      </w:r>
      <w:r>
        <w:t>;</w:t>
      </w:r>
    </w:p>
    <w:p w14:paraId="C5000000">
      <w:pPr>
        <w:pStyle w:val="Style_17"/>
        <w:widowControl w:val="1"/>
        <w:ind w:firstLine="0" w:left="709"/>
      </w:pPr>
      <w:r>
        <w:t xml:space="preserve">Код 6 – </w:t>
      </w:r>
      <w:r>
        <w:t xml:space="preserve">большая и глубокая </w:t>
      </w:r>
      <w:r>
        <w:t xml:space="preserve">кариозная полость, </w:t>
      </w:r>
      <w:r>
        <w:t>заполненная</w:t>
      </w:r>
      <w:r>
        <w:t xml:space="preserve"> размягченным дентином</w:t>
      </w:r>
      <w:r>
        <w:t>,</w:t>
      </w:r>
      <w:r>
        <w:t xml:space="preserve"> может протекать</w:t>
      </w:r>
      <w:r>
        <w:t xml:space="preserve"> с вовлечением </w:t>
      </w:r>
      <w:r>
        <w:t xml:space="preserve">в процесс пульпы и </w:t>
      </w:r>
      <w:r>
        <w:t>более 50% объема коронки зуба</w:t>
      </w:r>
      <w:r>
        <w:t>.</w:t>
      </w:r>
    </w:p>
    <w:p w14:paraId="C6000000">
      <w:bookmarkStart w:id="22" w:name="__RefHeading___11"/>
      <w:bookmarkEnd w:id="22"/>
      <w:pPr>
        <w:pStyle w:val="Style_18"/>
      </w:pPr>
      <w:r>
        <w:t>5.</w:t>
      </w:r>
      <w:r>
        <w:t>6</w:t>
      </w:r>
      <w:r>
        <w:t>.</w:t>
      </w:r>
      <w:r>
        <w:t xml:space="preserve"> Клиническая картина</w:t>
      </w:r>
    </w:p>
    <w:p w14:paraId="C7000000">
      <w:pPr>
        <w:pStyle w:val="Style_17"/>
        <w:rPr>
          <w:i w:val="1"/>
        </w:rPr>
      </w:pPr>
      <w:r>
        <w:rPr>
          <w:b w:val="1"/>
          <w:i w:val="1"/>
        </w:rPr>
        <w:t>Кариес эмали</w:t>
      </w:r>
      <w:r>
        <w:rPr>
          <w:i w:val="1"/>
        </w:rPr>
        <w:t xml:space="preserve"> (начальный кариес, кариес </w:t>
      </w:r>
      <w:r>
        <w:rPr>
          <w:i w:val="1"/>
        </w:rPr>
        <w:t xml:space="preserve">в </w:t>
      </w:r>
      <w:r>
        <w:rPr>
          <w:i w:val="1"/>
        </w:rPr>
        <w:t>стадии белого пятна) (К02.0)</w:t>
      </w:r>
    </w:p>
    <w:p w14:paraId="C8000000">
      <w:pPr>
        <w:pStyle w:val="Style_17"/>
        <w:rPr>
          <w:color w:themeColor="text1" w:val="000000"/>
        </w:rPr>
      </w:pPr>
      <w:r>
        <w:rPr>
          <w:color w:themeColor="text1" w:val="000000"/>
        </w:rPr>
        <w:t xml:space="preserve">Очаговая деминерализация эмали (начальный кариес) </w:t>
      </w:r>
      <w:r>
        <w:rPr>
          <w:color w:themeColor="text1" w:val="000000"/>
        </w:rPr>
        <w:t xml:space="preserve">проявляется образованием на поверхности </w:t>
      </w:r>
      <w:r>
        <w:rPr>
          <w:color w:themeColor="text1" w:val="000000"/>
        </w:rPr>
        <w:t>зуба</w:t>
      </w:r>
      <w:r>
        <w:rPr>
          <w:color w:themeColor="text1" w:val="000000"/>
        </w:rPr>
        <w:t xml:space="preserve"> </w:t>
      </w:r>
      <w:r>
        <w:rPr>
          <w:color w:themeColor="text1" w:val="000000"/>
        </w:rPr>
        <w:t>участков поражения</w:t>
      </w:r>
      <w:r>
        <w:rPr>
          <w:color w:themeColor="text1" w:val="000000"/>
        </w:rPr>
        <w:t xml:space="preserve"> в виде белых матовых пятен; протекает без образования полости</w:t>
      </w:r>
      <w:r>
        <w:rPr>
          <w:color w:themeColor="text1" w:val="000000"/>
        </w:rPr>
        <w:t>.</w:t>
      </w:r>
      <w:r>
        <w:rPr>
          <w:color w:themeColor="text1" w:val="000000"/>
        </w:rPr>
        <w:t xml:space="preserve"> </w:t>
      </w:r>
      <w:r>
        <w:rPr>
          <w:color w:themeColor="text1" w:val="000000"/>
        </w:rPr>
        <w:t xml:space="preserve">При зондировании </w:t>
      </w:r>
      <w:r>
        <w:rPr>
          <w:color w:themeColor="text1" w:val="000000"/>
        </w:rPr>
        <w:t>поверхность очага поражения может быть</w:t>
      </w:r>
      <w:r>
        <w:rPr>
          <w:color w:themeColor="text1" w:val="000000"/>
        </w:rPr>
        <w:t xml:space="preserve"> гладк</w:t>
      </w:r>
      <w:r>
        <w:rPr>
          <w:color w:themeColor="text1" w:val="000000"/>
        </w:rPr>
        <w:t>ой</w:t>
      </w:r>
      <w:r>
        <w:rPr>
          <w:color w:themeColor="text1" w:val="000000"/>
        </w:rPr>
        <w:t xml:space="preserve"> или шероховат</w:t>
      </w:r>
      <w:r>
        <w:rPr>
          <w:color w:themeColor="text1" w:val="000000"/>
        </w:rPr>
        <w:t>ой, дефект эмали не определяется</w:t>
      </w:r>
      <w:r>
        <w:rPr>
          <w:color w:themeColor="text1" w:val="000000"/>
        </w:rPr>
        <w:t>.</w:t>
      </w:r>
      <w:r>
        <w:rPr>
          <w:color w:themeColor="text1" w:val="000000"/>
        </w:rPr>
        <w:t xml:space="preserve"> П</w:t>
      </w:r>
      <w:r>
        <w:rPr>
          <w:color w:themeColor="text1" w:val="000000"/>
        </w:rPr>
        <w:t>ятна</w:t>
      </w:r>
      <w:r>
        <w:rPr>
          <w:color w:themeColor="text1" w:val="000000"/>
        </w:rPr>
        <w:t>, как правило,</w:t>
      </w:r>
      <w:r>
        <w:rPr>
          <w:color w:themeColor="text1" w:val="000000"/>
        </w:rPr>
        <w:t xml:space="preserve"> единичные, </w:t>
      </w:r>
      <w:r>
        <w:rPr>
          <w:color w:themeColor="text1" w:val="000000"/>
        </w:rPr>
        <w:t xml:space="preserve">могут быть </w:t>
      </w:r>
      <w:r>
        <w:rPr>
          <w:color w:themeColor="text1" w:val="000000"/>
        </w:rPr>
        <w:t>симметричн</w:t>
      </w:r>
      <w:r>
        <w:rPr>
          <w:color w:themeColor="text1" w:val="000000"/>
        </w:rPr>
        <w:t>ыми</w:t>
      </w:r>
      <w:r>
        <w:rPr>
          <w:color w:themeColor="text1" w:val="000000"/>
        </w:rPr>
        <w:t>.</w:t>
      </w:r>
      <w:r>
        <w:rPr>
          <w:color w:themeColor="text1" w:val="000000"/>
        </w:rPr>
        <w:t xml:space="preserve"> </w:t>
      </w:r>
      <w:r>
        <w:rPr>
          <w:color w:themeColor="text1" w:val="000000"/>
        </w:rPr>
        <w:t xml:space="preserve">Чаще </w:t>
      </w:r>
      <w:r>
        <w:rPr>
          <w:color w:themeColor="text1" w:val="000000"/>
        </w:rPr>
        <w:t xml:space="preserve">ОДЭ </w:t>
      </w:r>
      <w:r>
        <w:rPr>
          <w:color w:themeColor="text1" w:val="000000"/>
        </w:rPr>
        <w:t>возникает</w:t>
      </w:r>
      <w:r>
        <w:rPr>
          <w:color w:themeColor="text1" w:val="000000"/>
        </w:rPr>
        <w:t xml:space="preserve"> у лиц с</w:t>
      </w:r>
      <w:r>
        <w:rPr>
          <w:color w:themeColor="text1" w:val="000000"/>
        </w:rPr>
        <w:t xml:space="preserve"> низкой / </w:t>
      </w:r>
      <w:r>
        <w:rPr>
          <w:color w:themeColor="text1" w:val="000000"/>
        </w:rPr>
        <w:t>не</w:t>
      </w:r>
      <w:r>
        <w:rPr>
          <w:color w:themeColor="text1" w:val="000000"/>
        </w:rPr>
        <w:t xml:space="preserve">удовлетворительной ГПР. </w:t>
      </w:r>
      <w:r>
        <w:rPr>
          <w:color w:themeColor="text1" w:val="000000"/>
        </w:rPr>
        <w:t>Излюбленная локализация</w:t>
      </w:r>
      <w:r>
        <w:rPr>
          <w:color w:themeColor="text1" w:val="000000"/>
        </w:rPr>
        <w:t xml:space="preserve"> ОДЭ</w:t>
      </w:r>
      <w:r>
        <w:rPr>
          <w:color w:themeColor="text1" w:val="000000"/>
        </w:rPr>
        <w:t xml:space="preserve">: </w:t>
      </w:r>
      <w:r>
        <w:rPr>
          <w:color w:themeColor="text1" w:val="000000"/>
        </w:rPr>
        <w:t>фиссуры и другие естественные углубления, апроксимальные поверхности, пришеечная область</w:t>
      </w:r>
      <w:r>
        <w:rPr>
          <w:color w:themeColor="text1" w:val="000000"/>
        </w:rPr>
        <w:t xml:space="preserve"> коронки зуба</w:t>
      </w:r>
      <w:r>
        <w:rPr>
          <w:color w:themeColor="text1" w:val="000000"/>
        </w:rPr>
        <w:t xml:space="preserve"> </w:t>
      </w:r>
      <w:r>
        <w:rPr>
          <w:color w:val="252A2F"/>
        </w:rPr>
        <w:t>[1, 6, 9, 33]</w:t>
      </w:r>
      <w:r>
        <w:rPr>
          <w:color w:themeColor="text1" w:val="000000"/>
        </w:rPr>
        <w:t xml:space="preserve">. </w:t>
      </w:r>
    </w:p>
    <w:p w14:paraId="C9000000">
      <w:pPr>
        <w:pStyle w:val="Style_17"/>
        <w:rPr>
          <w:i w:val="1"/>
          <w:color w:themeColor="text1" w:val="000000"/>
        </w:rPr>
      </w:pPr>
      <w:r>
        <w:rPr>
          <w:i w:val="1"/>
          <w:color w:themeColor="text1" w:val="000000"/>
        </w:rPr>
        <w:t>Кариес эмали</w:t>
      </w:r>
      <w:r>
        <w:rPr>
          <w:i w:val="1"/>
          <w:color w:themeColor="text1" w:val="000000"/>
        </w:rPr>
        <w:t xml:space="preserve"> -</w:t>
      </w:r>
      <w:r>
        <w:t xml:space="preserve"> </w:t>
      </w:r>
      <w:r>
        <w:rPr>
          <w:i w:val="1"/>
          <w:color w:themeColor="text1" w:val="000000"/>
        </w:rPr>
        <w:t>наличи</w:t>
      </w:r>
      <w:r>
        <w:rPr>
          <w:i w:val="1"/>
          <w:color w:themeColor="text1" w:val="000000"/>
        </w:rPr>
        <w:t>е</w:t>
      </w:r>
      <w:r>
        <w:rPr>
          <w:i w:val="1"/>
          <w:color w:themeColor="text1" w:val="000000"/>
        </w:rPr>
        <w:t xml:space="preserve">  дефектов эмали, не распространяющихся за пределы эмалево-дентинного соединения</w:t>
      </w:r>
      <w:r>
        <w:rPr>
          <w:i w:val="1"/>
          <w:color w:themeColor="text1" w:val="000000"/>
        </w:rPr>
        <w:t>.</w:t>
      </w:r>
    </w:p>
    <w:p w14:paraId="CA000000">
      <w:pPr>
        <w:pStyle w:val="Style_17"/>
        <w:rPr>
          <w:i w:val="1"/>
        </w:rPr>
      </w:pPr>
      <w:r>
        <w:rPr>
          <w:b w:val="1"/>
          <w:i w:val="1"/>
        </w:rPr>
        <w:t>Кариес дентина</w:t>
      </w:r>
      <w:r>
        <w:rPr>
          <w:i w:val="1"/>
        </w:rPr>
        <w:t xml:space="preserve"> (К02.1)</w:t>
      </w:r>
    </w:p>
    <w:p w14:paraId="CB000000">
      <w:r>
        <w:t xml:space="preserve">Кариес дентина проявляется </w:t>
      </w:r>
      <w:r>
        <w:t>образованием дефекта</w:t>
      </w:r>
      <w:r>
        <w:t xml:space="preserve"> </w:t>
      </w:r>
      <w:r>
        <w:t>эмали и дентина</w:t>
      </w:r>
      <w:r>
        <w:t xml:space="preserve"> в виде полости</w:t>
      </w:r>
      <w:r>
        <w:t xml:space="preserve"> с</w:t>
      </w:r>
      <w:r>
        <w:t xml:space="preserve"> </w:t>
      </w:r>
      <w:r>
        <w:t>большим или меньшим слоем сохраненного дентина  без признаков гиперемии.</w:t>
      </w:r>
    </w:p>
    <w:p w14:paraId="CC000000">
      <w:pPr>
        <w:pStyle w:val="Style_17"/>
      </w:pPr>
      <w:r>
        <w:t xml:space="preserve"> Пациенты могут предъявлять жалобы на острую локализованную боль от температурных, химических и механических раздражителей, исчезающ</w:t>
      </w:r>
      <w:r>
        <w:t>ую</w:t>
      </w:r>
      <w:r>
        <w:t xml:space="preserve"> после </w:t>
      </w:r>
      <w:r>
        <w:t>их устранения</w:t>
      </w:r>
      <w:r>
        <w:t>. При зондировании определяется кариозная полость в пределах дентина</w:t>
      </w:r>
      <w:r>
        <w:t xml:space="preserve">, выполненная плотным </w:t>
      </w:r>
      <w:r>
        <w:t>или</w:t>
      </w:r>
      <w:r>
        <w:t xml:space="preserve"> размягченным</w:t>
      </w:r>
      <w:r>
        <w:t xml:space="preserve"> деминерализованным дентином. При зондировании кариозной полости возможна кратковременная болезненность </w:t>
      </w:r>
      <w:r>
        <w:t xml:space="preserve">в области </w:t>
      </w:r>
      <w:r>
        <w:t>эмалево-дентинно</w:t>
      </w:r>
      <w:r>
        <w:t>го</w:t>
      </w:r>
      <w:r>
        <w:t xml:space="preserve"> соединени</w:t>
      </w:r>
      <w:r>
        <w:t>я или(и)</w:t>
      </w:r>
      <w:r>
        <w:t xml:space="preserve"> дн</w:t>
      </w:r>
      <w:r>
        <w:t>а</w:t>
      </w:r>
      <w:r>
        <w:t xml:space="preserve"> кариозной полости</w:t>
      </w:r>
      <w:r>
        <w:t xml:space="preserve">. </w:t>
      </w:r>
      <w:r>
        <w:rPr>
          <w:color w:themeColor="text1" w:val="000000"/>
        </w:rPr>
        <w:t xml:space="preserve">Чаще </w:t>
      </w:r>
      <w:r>
        <w:rPr>
          <w:color w:themeColor="text1" w:val="000000"/>
        </w:rPr>
        <w:t xml:space="preserve">кариес дентина </w:t>
      </w:r>
      <w:r>
        <w:rPr>
          <w:color w:themeColor="text1" w:val="000000"/>
        </w:rPr>
        <w:t xml:space="preserve">возникает на фоне низкой / удовлетворительной ГПР. </w:t>
      </w:r>
      <w:r>
        <w:t>Излюбленная локализация</w:t>
      </w:r>
      <w:r>
        <w:t>:</w:t>
      </w:r>
      <w:r>
        <w:t xml:space="preserve"> фиссуры, контактные поверхности, пришеечная область</w:t>
      </w:r>
      <w:r>
        <w:t xml:space="preserve"> коронки зуба</w:t>
      </w:r>
      <w:r>
        <w:t xml:space="preserve"> </w:t>
      </w:r>
      <w:r>
        <w:rPr>
          <w:color w:val="252A2F"/>
        </w:rPr>
        <w:t>[1, 6, 9, 33]</w:t>
      </w:r>
      <w:r>
        <w:t>.</w:t>
      </w:r>
    </w:p>
    <w:p w14:paraId="CD000000">
      <w:pPr>
        <w:pStyle w:val="Style_17"/>
        <w:rPr>
          <w:i w:val="1"/>
        </w:rPr>
      </w:pPr>
      <w:r>
        <w:rPr>
          <w:b w:val="1"/>
          <w:i w:val="1"/>
        </w:rPr>
        <w:t>Кариес цемента</w:t>
      </w:r>
      <w:r>
        <w:rPr>
          <w:i w:val="1"/>
        </w:rPr>
        <w:t xml:space="preserve"> (К02.2)</w:t>
      </w:r>
    </w:p>
    <w:p w14:paraId="CE000000">
      <w:pPr>
        <w:pStyle w:val="Style_17"/>
      </w:pPr>
      <w:r>
        <w:t xml:space="preserve">Кариес цемента проявляется образованием </w:t>
      </w:r>
      <w:r>
        <w:t>очага поражения (пятна или, чаще</w:t>
      </w:r>
      <w:r>
        <w:t>,</w:t>
      </w:r>
      <w:r>
        <w:t xml:space="preserve"> </w:t>
      </w:r>
      <w:r>
        <w:t>полости) на поверхности оголенного корня зуба, чаще у пациентов с рецессией десны, воспалительными и дистрофическими изменениями в тканях пародонта</w:t>
      </w:r>
      <w:r>
        <w:t>, преимущественно у лиц пожилого и старческого возраста</w:t>
      </w:r>
      <w:r>
        <w:t xml:space="preserve">. </w:t>
      </w:r>
      <w:r>
        <w:t>Пациенты могут предъявлять жалобы на остр</w:t>
      </w:r>
      <w:r>
        <w:t>ую</w:t>
      </w:r>
      <w:r>
        <w:t xml:space="preserve"> локализованн</w:t>
      </w:r>
      <w:r>
        <w:t>ую</w:t>
      </w:r>
      <w:r>
        <w:t xml:space="preserve"> бол</w:t>
      </w:r>
      <w:r>
        <w:t>ь</w:t>
      </w:r>
      <w:r>
        <w:t xml:space="preserve"> от температурных, химических и механических раздражителей, исчезающ</w:t>
      </w:r>
      <w:r>
        <w:t>ую</w:t>
      </w:r>
      <w:r>
        <w:t xml:space="preserve"> после </w:t>
      </w:r>
      <w:r>
        <w:t>их устранения</w:t>
      </w:r>
      <w:r>
        <w:t xml:space="preserve">; </w:t>
      </w:r>
      <w:r>
        <w:t>нередко встречается мало- или бессимптомное течение</w:t>
      </w:r>
      <w:r>
        <w:t>.</w:t>
      </w:r>
      <w:r>
        <w:t xml:space="preserve"> </w:t>
      </w:r>
      <w:r>
        <w:t xml:space="preserve">При зондировании </w:t>
      </w:r>
      <w:r>
        <w:t xml:space="preserve">дна и стенок </w:t>
      </w:r>
      <w:r>
        <w:t xml:space="preserve">кариозной полости отмечается кратковременная болезненность. </w:t>
      </w:r>
      <w:r>
        <w:rPr>
          <w:color w:themeColor="text1" w:val="000000"/>
        </w:rPr>
        <w:t>Чаще</w:t>
      </w:r>
      <w:r>
        <w:rPr>
          <w:color w:themeColor="text1" w:val="000000"/>
        </w:rPr>
        <w:t xml:space="preserve"> кариес цемента</w:t>
      </w:r>
      <w:r>
        <w:rPr>
          <w:color w:themeColor="text1" w:val="000000"/>
        </w:rPr>
        <w:t xml:space="preserve"> возникает на фоне низкой / удовлетворительной ГПР</w:t>
      </w:r>
      <w:r>
        <w:rPr>
          <w:color w:themeColor="text1" w:val="000000"/>
        </w:rPr>
        <w:t xml:space="preserve"> </w:t>
      </w:r>
      <w:r>
        <w:rPr>
          <w:color w:val="252A2F"/>
        </w:rPr>
        <w:t>[1, 6, 9, 33]</w:t>
      </w:r>
      <w:r>
        <w:rPr>
          <w:color w:themeColor="text1" w:val="000000"/>
        </w:rPr>
        <w:t>.</w:t>
      </w:r>
      <w:r>
        <w:rPr>
          <w:color w:themeColor="text1" w:val="000000"/>
        </w:rPr>
        <w:t xml:space="preserve"> В большинстве случаев имеет прогрессирующее течение.</w:t>
      </w:r>
      <w:r>
        <w:rPr>
          <w:color w:themeColor="text1" w:val="000000"/>
        </w:rPr>
        <w:t xml:space="preserve"> </w:t>
      </w:r>
      <w:r>
        <w:t>Чаще возникает у лиц пожилого возраста, особенно на фоне гипосаливации / ксеростомии.</w:t>
      </w:r>
    </w:p>
    <w:p w14:paraId="CF000000">
      <w:pPr>
        <w:pStyle w:val="Style_17"/>
        <w:rPr>
          <w:i w:val="1"/>
        </w:rPr>
      </w:pPr>
      <w:r>
        <w:rPr>
          <w:b w:val="1"/>
          <w:i w:val="1"/>
        </w:rPr>
        <w:t>Приостановившийся кариес зубов</w:t>
      </w:r>
      <w:r>
        <w:rPr>
          <w:i w:val="1"/>
        </w:rPr>
        <w:t xml:space="preserve"> (К02.3)</w:t>
      </w:r>
    </w:p>
    <w:p w14:paraId="D0000000">
      <w:pPr>
        <w:pStyle w:val="Style_17"/>
      </w:pPr>
      <w:r>
        <w:t>Приостановившийся кариес проявляется образованием на поверхности зуба п</w:t>
      </w:r>
      <w:r>
        <w:t xml:space="preserve">игментированных пятен </w:t>
      </w:r>
      <w:r>
        <w:t>различных размеров и интенсивности окраски</w:t>
      </w:r>
      <w:r>
        <w:t xml:space="preserve">. </w:t>
      </w:r>
      <w:r>
        <w:t>Пятна, к</w:t>
      </w:r>
      <w:r>
        <w:rPr>
          <w:color w:val="252A2F"/>
        </w:rPr>
        <w:t xml:space="preserve">ак правило, единичные, </w:t>
      </w:r>
      <w:r>
        <w:rPr>
          <w:color w:val="252A2F"/>
        </w:rPr>
        <w:t>могут быть симметричными</w:t>
      </w:r>
      <w:r>
        <w:rPr>
          <w:color w:val="252A2F"/>
        </w:rPr>
        <w:t>.</w:t>
      </w:r>
      <w:r>
        <w:rPr>
          <w:color w:val="252A2F"/>
        </w:rPr>
        <w:t xml:space="preserve"> </w:t>
      </w:r>
      <w:r>
        <w:t>Чаще</w:t>
      </w:r>
      <w:r>
        <w:t xml:space="preserve"> эта форма КЗ</w:t>
      </w:r>
      <w:r>
        <w:t xml:space="preserve"> протекает бессимптомно, возможны жалобы на эстетический дефект, повышенн</w:t>
      </w:r>
      <w:r>
        <w:t>ую</w:t>
      </w:r>
      <w:r>
        <w:t xml:space="preserve"> чувствительност</w:t>
      </w:r>
      <w:r>
        <w:t>ь</w:t>
      </w:r>
      <w:r>
        <w:t xml:space="preserve"> зуба к химическим раздражителям. </w:t>
      </w:r>
      <w:r>
        <w:rPr>
          <w:highlight w:val="white"/>
        </w:rPr>
        <w:t xml:space="preserve">Общее состояние </w:t>
      </w:r>
      <w:r>
        <w:rPr>
          <w:highlight w:val="white"/>
        </w:rPr>
        <w:t xml:space="preserve">пациента </w:t>
      </w:r>
      <w:r>
        <w:rPr>
          <w:highlight w:val="white"/>
        </w:rPr>
        <w:t>не нарушено</w:t>
      </w:r>
      <w:r>
        <w:t>,</w:t>
      </w:r>
      <w:r>
        <w:t xml:space="preserve"> часто выявляется сочетанная </w:t>
      </w:r>
      <w:r>
        <w:rPr>
          <w:highlight w:val="white"/>
        </w:rPr>
        <w:t>системная патология (</w:t>
      </w:r>
      <w:r>
        <w:rPr>
          <w:highlight w:val="white"/>
        </w:rPr>
        <w:t>заболевания</w:t>
      </w:r>
      <w:r>
        <w:rPr>
          <w:highlight w:val="white"/>
        </w:rPr>
        <w:t xml:space="preserve"> эндокринной / пищеварительной систем),</w:t>
      </w:r>
      <w:r>
        <w:rPr>
          <w:highlight w:val="white"/>
        </w:rPr>
        <w:t xml:space="preserve"> </w:t>
      </w:r>
      <w:r>
        <w:t>отмеч</w:t>
      </w:r>
      <w:r>
        <w:t>а</w:t>
      </w:r>
      <w:r>
        <w:t xml:space="preserve">ется </w:t>
      </w:r>
      <w:r>
        <w:rPr>
          <w:highlight w:val="white"/>
        </w:rPr>
        <w:t xml:space="preserve">плохая </w:t>
      </w:r>
      <w:r>
        <w:rPr>
          <w:highlight w:val="white"/>
        </w:rPr>
        <w:t>ГПР</w:t>
      </w:r>
      <w:r>
        <w:rPr>
          <w:highlight w:val="white"/>
        </w:rPr>
        <w:t>.</w:t>
      </w:r>
      <w:r>
        <w:rPr>
          <w:b w:val="1"/>
          <w:highlight w:val="white"/>
        </w:rPr>
        <w:t xml:space="preserve"> </w:t>
      </w:r>
      <w:r>
        <w:t xml:space="preserve">При зондировании </w:t>
      </w:r>
      <w:r>
        <w:t xml:space="preserve">поверхность пятна </w:t>
      </w:r>
      <w:r>
        <w:t>гладкая</w:t>
      </w:r>
      <w:r>
        <w:t>,</w:t>
      </w:r>
      <w:r>
        <w:t xml:space="preserve"> </w:t>
      </w:r>
      <w:r>
        <w:t>без нарушения целостности эмалево-дентинного соединения</w:t>
      </w:r>
      <w:r>
        <w:t>, безболезненная</w:t>
      </w:r>
      <w:r>
        <w:t>.</w:t>
      </w:r>
      <w:r>
        <w:t xml:space="preserve"> </w:t>
      </w:r>
      <w:r>
        <w:rPr>
          <w:color w:val="252A2F"/>
        </w:rPr>
        <w:t>Излюбленная</w:t>
      </w:r>
      <w:r>
        <w:rPr>
          <w:color w:val="252A2F"/>
        </w:rPr>
        <w:t xml:space="preserve"> локализация: фиссуры и другие естественные углубления, апроксимальные поверхности, пришеечная область</w:t>
      </w:r>
      <w:r>
        <w:rPr>
          <w:color w:val="252A2F"/>
        </w:rPr>
        <w:t xml:space="preserve"> коронки зуба</w:t>
      </w:r>
      <w:r>
        <w:rPr>
          <w:color w:val="252A2F"/>
        </w:rPr>
        <w:t xml:space="preserve"> [1, 6, 9, 33]</w:t>
      </w:r>
      <w:r>
        <w:rPr>
          <w:color w:val="252A2F"/>
        </w:rPr>
        <w:t xml:space="preserve">. </w:t>
      </w:r>
    </w:p>
    <w:p w14:paraId="D1000000">
      <w:pPr>
        <w:pStyle w:val="Style_17"/>
        <w:rPr>
          <w:i w:val="1"/>
        </w:rPr>
      </w:pPr>
      <w:r>
        <w:rPr>
          <w:b w:val="1"/>
          <w:i w:val="1"/>
        </w:rPr>
        <w:t>Кариес с обнажением пульпы</w:t>
      </w:r>
      <w:r>
        <w:rPr>
          <w:i w:val="1"/>
        </w:rPr>
        <w:t xml:space="preserve"> </w:t>
      </w:r>
      <w:r>
        <w:rPr>
          <w:i w:val="1"/>
        </w:rPr>
        <w:t>(К02.5)</w:t>
      </w:r>
    </w:p>
    <w:p w14:paraId="D2000000">
      <w:pPr>
        <w:pStyle w:val="Style_17"/>
      </w:pPr>
      <w:r>
        <w:t>Кариес с обнажением пульпы</w:t>
      </w:r>
      <w:r>
        <w:t xml:space="preserve"> </w:t>
      </w:r>
      <w:r>
        <w:t xml:space="preserve">зуба проявляется образованием </w:t>
      </w:r>
      <w:r>
        <w:t>глубок</w:t>
      </w:r>
      <w:r>
        <w:t>ой</w:t>
      </w:r>
      <w:r>
        <w:t xml:space="preserve"> кариозн</w:t>
      </w:r>
      <w:r>
        <w:t>ой</w:t>
      </w:r>
      <w:r>
        <w:t xml:space="preserve"> полост</w:t>
      </w:r>
      <w:r>
        <w:t>и</w:t>
      </w:r>
      <w:r>
        <w:t xml:space="preserve"> </w:t>
      </w:r>
      <w:r>
        <w:t>в пределах</w:t>
      </w:r>
      <w:r>
        <w:t xml:space="preserve"> околопульпарного </w:t>
      </w:r>
      <w:r>
        <w:t xml:space="preserve">слоя </w:t>
      </w:r>
      <w:r>
        <w:t xml:space="preserve">дентина. </w:t>
      </w:r>
      <w:r>
        <w:t>Жалобы</w:t>
      </w:r>
      <w:r>
        <w:t xml:space="preserve"> </w:t>
      </w:r>
      <w:r>
        <w:t xml:space="preserve">могут отсутствовать или (чаще) проявляться резкими </w:t>
      </w:r>
      <w:r>
        <w:t>болев</w:t>
      </w:r>
      <w:r>
        <w:t>ыми</w:t>
      </w:r>
      <w:r>
        <w:t xml:space="preserve"> ощущени</w:t>
      </w:r>
      <w:r>
        <w:t xml:space="preserve">ями </w:t>
      </w:r>
      <w:r>
        <w:t xml:space="preserve">от температурных </w:t>
      </w:r>
      <w:r>
        <w:t xml:space="preserve">или механических </w:t>
      </w:r>
      <w:r>
        <w:t xml:space="preserve">раздражителей, </w:t>
      </w:r>
      <w:r>
        <w:t xml:space="preserve">проходящими после их устранения; </w:t>
      </w:r>
      <w:r>
        <w:t>самопроизвольны</w:t>
      </w:r>
      <w:r>
        <w:t>е</w:t>
      </w:r>
      <w:r>
        <w:t xml:space="preserve"> бол</w:t>
      </w:r>
      <w:r>
        <w:t>и отсутствуют</w:t>
      </w:r>
      <w:r>
        <w:t>.</w:t>
      </w:r>
      <w:r>
        <w:t xml:space="preserve"> Из анамнеза зуб может быть ранее лечен / не лечен</w:t>
      </w:r>
      <w:r>
        <w:t xml:space="preserve"> </w:t>
      </w:r>
      <w:r>
        <w:t xml:space="preserve">по поводу </w:t>
      </w:r>
      <w:r>
        <w:t>КЗ</w:t>
      </w:r>
      <w:r>
        <w:t xml:space="preserve">. </w:t>
      </w:r>
      <w:r>
        <w:t>Зондирование болезненно по дну кариозной полости</w:t>
      </w:r>
      <w:r>
        <w:t xml:space="preserve">, может </w:t>
      </w:r>
      <w:r>
        <w:t>определяться локальная болезненность</w:t>
      </w:r>
      <w:r>
        <w:t>.</w:t>
      </w:r>
      <w:r>
        <w:t xml:space="preserve"> </w:t>
      </w:r>
      <w:r>
        <w:t xml:space="preserve">На рентгенограмме может определяться прямое </w:t>
      </w:r>
      <w:r>
        <w:t xml:space="preserve">или непрямое, визуализируемое за счёт слабой рентгенконтрастности деминерализованного дентина, </w:t>
      </w:r>
      <w:r>
        <w:t>случайное вскрытие пульпы зуба при препарирование</w:t>
      </w:r>
      <w:r>
        <w:rPr>
          <w:color w:val="252A2F"/>
        </w:rPr>
        <w:t>и</w:t>
      </w:r>
      <w:r>
        <w:rPr>
          <w:color w:val="252A2F"/>
        </w:rPr>
        <w:t>1, 6, 9, 33]</w:t>
      </w:r>
      <w:r>
        <w:t>.</w:t>
      </w:r>
    </w:p>
    <w:p w14:paraId="D3000000">
      <w:pPr>
        <w:pStyle w:val="Style_17"/>
        <w:rPr>
          <w:i w:val="1"/>
          <w:u w:val="single"/>
        </w:rPr>
      </w:pPr>
      <w:r>
        <w:rPr>
          <w:b w:val="1"/>
          <w:i w:val="1"/>
          <w:u w:val="single"/>
        </w:rPr>
        <w:t>Другой кариес зубов</w:t>
      </w:r>
      <w:r>
        <w:rPr>
          <w:i w:val="1"/>
        </w:rPr>
        <w:t xml:space="preserve"> </w:t>
      </w:r>
      <w:r>
        <w:rPr>
          <w:i w:val="1"/>
        </w:rPr>
        <w:t>(К02.</w:t>
      </w:r>
      <w:r>
        <w:rPr>
          <w:i w:val="1"/>
        </w:rPr>
        <w:t>8</w:t>
      </w:r>
      <w:r>
        <w:rPr>
          <w:i w:val="1"/>
        </w:rPr>
        <w:t>)</w:t>
      </w:r>
      <w:r>
        <w:rPr>
          <w:i w:val="1"/>
        </w:rPr>
        <w:t xml:space="preserve"> </w:t>
      </w:r>
    </w:p>
    <w:p w14:paraId="D4000000">
      <w:pPr>
        <w:pStyle w:val="Style_17"/>
        <w:rPr>
          <w:i w:val="1"/>
        </w:rPr>
      </w:pPr>
      <w:r>
        <w:rPr>
          <w:i w:val="1"/>
        </w:rPr>
        <w:t>-кариозные поражения в ТТЗ, развившийся после  эндодонтического лечения осложненных форм кариеса- пульпита и периодонтита.</w:t>
      </w:r>
    </w:p>
    <w:p w14:paraId="D5000000">
      <w:pPr>
        <w:pStyle w:val="Style_17"/>
      </w:pPr>
      <w:r>
        <w:t xml:space="preserve"> </w:t>
      </w:r>
      <w:r>
        <w:t>Клиническая картина</w:t>
      </w:r>
      <w:r>
        <w:t xml:space="preserve"> этой формы КЗ</w:t>
      </w:r>
      <w:r>
        <w:t xml:space="preserve"> зависит от размеров и топографии кариозной полости.</w:t>
      </w:r>
      <w:r>
        <w:t xml:space="preserve"> При осмотре</w:t>
      </w:r>
      <w:r>
        <w:t xml:space="preserve"> </w:t>
      </w:r>
      <w:r>
        <w:t xml:space="preserve">причинного зуба </w:t>
      </w:r>
      <w:r>
        <w:t>м</w:t>
      </w:r>
      <w:r>
        <w:t>о</w:t>
      </w:r>
      <w:r>
        <w:t>гут</w:t>
      </w:r>
      <w:r>
        <w:t xml:space="preserve"> определяться наличие пломбы, изменение цвета и/или дефекта </w:t>
      </w:r>
      <w:r>
        <w:t>ТТЗ</w:t>
      </w:r>
      <w:r>
        <w:t xml:space="preserve"> в границах пломбы</w:t>
      </w:r>
      <w:r>
        <w:t>,</w:t>
      </w:r>
      <w:r>
        <w:t xml:space="preserve"> а также</w:t>
      </w:r>
      <w:r>
        <w:t xml:space="preserve"> изолирован</w:t>
      </w:r>
      <w:r>
        <w:t>ные дефекты коронки</w:t>
      </w:r>
      <w:r>
        <w:t xml:space="preserve">. </w:t>
      </w:r>
      <w:r>
        <w:rPr>
          <w:color w:val="252A2F"/>
        </w:rPr>
        <w:t>[1, 6, 9, 33]</w:t>
      </w:r>
      <w:r>
        <w:t>.</w:t>
      </w:r>
    </w:p>
    <w:p w14:paraId="D6000000">
      <w:bookmarkStart w:id="23" w:name="__RefHeading___12"/>
      <w:bookmarkEnd w:id="23"/>
      <w:pPr>
        <w:pStyle w:val="Style_8"/>
      </w:pPr>
      <w:r>
        <w:t>VI</w:t>
      </w:r>
      <w:r>
        <w:t xml:space="preserve">. </w:t>
      </w:r>
      <w:r>
        <w:t>Диагностика</w:t>
      </w:r>
      <w:bookmarkEnd w:id="16"/>
      <w:r>
        <w:t xml:space="preserve"> </w:t>
      </w:r>
      <w:r>
        <w:t>заболевания</w:t>
      </w:r>
      <w:r>
        <w:t>,</w:t>
      </w:r>
      <w:r>
        <w:t xml:space="preserve"> </w:t>
      </w:r>
      <w:r>
        <w:t>медицинские показания и противопоказания к применению методов диагностики</w:t>
      </w:r>
      <w:r>
        <w:tab/>
      </w:r>
    </w:p>
    <w:p w14:paraId="D7000000">
      <w:pPr>
        <w:pStyle w:val="Style_17"/>
      </w:pPr>
      <w:r>
        <w:t>Диагноз</w:t>
      </w:r>
      <w:r>
        <w:t xml:space="preserve"> </w:t>
      </w:r>
      <w:r>
        <w:t>КЗ</w:t>
      </w:r>
      <w:r>
        <w:t xml:space="preserve"> ставится на основании анализа результатов</w:t>
      </w:r>
      <w:r>
        <w:t xml:space="preserve"> опроса, клинического осмотра и </w:t>
      </w:r>
      <w:r>
        <w:t>данных</w:t>
      </w:r>
      <w:r>
        <w:t xml:space="preserve"> дополнительных методов обследования</w:t>
      </w:r>
      <w:r>
        <w:t xml:space="preserve">. Диагностика </w:t>
      </w:r>
      <w:r>
        <w:t>КЗ</w:t>
      </w:r>
      <w:r>
        <w:t xml:space="preserve"> направлена на определение стадии </w:t>
      </w:r>
      <w:r>
        <w:t>заболевания</w:t>
      </w:r>
      <w:r>
        <w:t>, локализации кариозного процесса</w:t>
      </w:r>
      <w:r>
        <w:t xml:space="preserve"> и</w:t>
      </w:r>
      <w:r>
        <w:t xml:space="preserve"> степени разрушения структур зуба</w:t>
      </w:r>
      <w:r>
        <w:t>,</w:t>
      </w:r>
      <w:r>
        <w:t xml:space="preserve"> </w:t>
      </w:r>
      <w:r>
        <w:t xml:space="preserve">а также </w:t>
      </w:r>
      <w:r>
        <w:t>состояни</w:t>
      </w:r>
      <w:r>
        <w:t>я</w:t>
      </w:r>
      <w:r>
        <w:t xml:space="preserve"> </w:t>
      </w:r>
      <w:r>
        <w:t xml:space="preserve">тканей пульпы, </w:t>
      </w:r>
      <w:r>
        <w:t>паро</w:t>
      </w:r>
      <w:r>
        <w:t>- и перио</w:t>
      </w:r>
      <w:r>
        <w:t xml:space="preserve">донта для определения выбора </w:t>
      </w:r>
      <w:r>
        <w:t>оптимального</w:t>
      </w:r>
      <w:r>
        <w:t xml:space="preserve"> метода лечения</w:t>
      </w:r>
      <w:r>
        <w:t xml:space="preserve"> </w:t>
      </w:r>
      <w:r>
        <w:t>[1, 2, 5</w:t>
      </w:r>
      <w:r>
        <w:t xml:space="preserve">) (Таблица 1) </w:t>
      </w:r>
      <w:r>
        <w:t xml:space="preserve">. </w:t>
      </w:r>
    </w:p>
    <w:p w14:paraId="D8000000">
      <w:pPr>
        <w:pStyle w:val="Style_17"/>
      </w:pPr>
      <w:r>
        <w:t xml:space="preserve">В ходе обследования </w:t>
      </w:r>
      <w:r>
        <w:t>выявляют</w:t>
      </w:r>
      <w:r>
        <w:t xml:space="preserve"> наличие </w:t>
      </w:r>
      <w:r>
        <w:t xml:space="preserve">у пациента </w:t>
      </w:r>
      <w:r>
        <w:t>факторов, препятствующих немедленному началу лечения или полностью исключающих его возможности</w:t>
      </w:r>
      <w:r>
        <w:t>:</w:t>
      </w:r>
    </w:p>
    <w:p w14:paraId="D9000000">
      <w:pPr>
        <w:pStyle w:val="Style_17"/>
        <w:widowControl w:val="1"/>
        <w:numPr>
          <w:ilvl w:val="0"/>
          <w:numId w:val="2"/>
        </w:numPr>
        <w:ind w:hanging="283" w:left="567"/>
      </w:pPr>
      <w:r>
        <w:t xml:space="preserve">наличие непереносимости лекарственных препаратов и материалов, </w:t>
      </w:r>
      <w:r>
        <w:t xml:space="preserve">планируемых к </w:t>
      </w:r>
      <w:r>
        <w:t>использ</w:t>
      </w:r>
      <w:r>
        <w:t>ованию</w:t>
      </w:r>
      <w:r>
        <w:t xml:space="preserve"> </w:t>
      </w:r>
      <w:r>
        <w:t>в</w:t>
      </w:r>
      <w:r>
        <w:t xml:space="preserve"> лечени</w:t>
      </w:r>
      <w:r>
        <w:t xml:space="preserve">и </w:t>
      </w:r>
      <w:r>
        <w:t>КЗ</w:t>
      </w:r>
      <w:r>
        <w:t>;</w:t>
      </w:r>
    </w:p>
    <w:p w14:paraId="DA000000">
      <w:pPr>
        <w:pStyle w:val="Style_17"/>
        <w:widowControl w:val="1"/>
        <w:numPr>
          <w:ilvl w:val="0"/>
          <w:numId w:val="2"/>
        </w:numPr>
        <w:ind w:hanging="283" w:left="567"/>
      </w:pPr>
      <w:r>
        <w:t>наличие у пациента на момент обследования заболевания пародонта в стадии обострения;</w:t>
      </w:r>
    </w:p>
    <w:p w14:paraId="DB000000">
      <w:pPr>
        <w:pStyle w:val="Style_17"/>
        <w:widowControl w:val="1"/>
        <w:numPr>
          <w:ilvl w:val="0"/>
          <w:numId w:val="2"/>
        </w:numPr>
        <w:ind w:hanging="283" w:left="567"/>
      </w:pPr>
      <w:r>
        <w:t>наличие у пациента на момент обследования острых воспалительных заболеваний слизистой оболочки рта и красной каймы губ;</w:t>
      </w:r>
    </w:p>
    <w:p w14:paraId="DC000000">
      <w:pPr>
        <w:pStyle w:val="Style_17"/>
        <w:widowControl w:val="1"/>
        <w:numPr>
          <w:ilvl w:val="0"/>
          <w:numId w:val="2"/>
        </w:numPr>
        <w:ind w:hanging="283" w:left="567"/>
      </w:pPr>
      <w:r>
        <w:t>неудовлетворительное / плохое гигиеническое состояние полости рта;</w:t>
      </w:r>
    </w:p>
    <w:p w14:paraId="DD000000">
      <w:pPr>
        <w:pStyle w:val="Style_17"/>
        <w:widowControl w:val="1"/>
        <w:numPr>
          <w:ilvl w:val="0"/>
          <w:numId w:val="2"/>
        </w:numPr>
        <w:ind w:hanging="283" w:left="567"/>
      </w:pPr>
      <w:r>
        <w:t>неадекватное психоэмоциональное состояние,</w:t>
      </w:r>
      <w:r>
        <w:t xml:space="preserve"> вызванное разными причинами</w:t>
      </w:r>
      <w:r>
        <w:t>,</w:t>
      </w:r>
      <w:r>
        <w:t xml:space="preserve"> высокий уровень тревожности пациента </w:t>
      </w:r>
      <w:r>
        <w:t>в связи с предстоящим стоматологическим</w:t>
      </w:r>
      <w:r>
        <w:t xml:space="preserve"> лечением</w:t>
      </w:r>
      <w:r>
        <w:t xml:space="preserve">,- </w:t>
      </w:r>
      <w:r>
        <w:t>состояния</w:t>
      </w:r>
      <w:r>
        <w:t xml:space="preserve">, </w:t>
      </w:r>
      <w:r>
        <w:t xml:space="preserve"> требующие соответствующей медицинской </w:t>
      </w:r>
      <w:r>
        <w:t xml:space="preserve"> или психологической </w:t>
      </w:r>
      <w:r>
        <w:t>коррекции;</w:t>
      </w:r>
    </w:p>
    <w:p w14:paraId="DE000000">
      <w:pPr>
        <w:pStyle w:val="Style_17"/>
        <w:widowControl w:val="1"/>
        <w:numPr>
          <w:ilvl w:val="0"/>
          <w:numId w:val="2"/>
        </w:numPr>
        <w:ind w:hanging="283" w:left="567"/>
      </w:pPr>
      <w:r>
        <w:t xml:space="preserve">наличие </w:t>
      </w:r>
      <w:r>
        <w:t xml:space="preserve">у пациента </w:t>
      </w:r>
      <w:r>
        <w:t xml:space="preserve">системного заболевания или нескольких системных заболеваний </w:t>
      </w:r>
      <w:r>
        <w:t>(</w:t>
      </w:r>
      <w:r>
        <w:t xml:space="preserve"> со </w:t>
      </w:r>
      <w:r>
        <w:t>средне-тяжел</w:t>
      </w:r>
      <w:r>
        <w:t>ым</w:t>
      </w:r>
      <w:r>
        <w:t xml:space="preserve"> течение, коррегируем</w:t>
      </w:r>
      <w:r>
        <w:t>ым</w:t>
      </w:r>
      <w:r>
        <w:t xml:space="preserve"> медикаментозно), </w:t>
      </w:r>
      <w:r>
        <w:t xml:space="preserve">не нарушающих его трудоспособность, не </w:t>
      </w:r>
      <w:r>
        <w:t>создающих риск</w:t>
      </w:r>
      <w:r>
        <w:t>и</w:t>
      </w:r>
      <w:r>
        <w:t xml:space="preserve"> стоматологического лечения и</w:t>
      </w:r>
      <w:r>
        <w:t xml:space="preserve"> не </w:t>
      </w:r>
      <w:r>
        <w:t xml:space="preserve"> ограничивающих его возможности,</w:t>
      </w:r>
      <w:r>
        <w:t xml:space="preserve"> однако</w:t>
      </w:r>
      <w:r>
        <w:t xml:space="preserve"> требующих консультации соответствующих специалистов </w:t>
      </w:r>
      <w:r>
        <w:t>для</w:t>
      </w:r>
      <w:r>
        <w:t xml:space="preserve"> подготовки к стоматологическому лечению (ASA III) [</w:t>
      </w:r>
      <w:r>
        <w:t>34</w:t>
      </w:r>
      <w:r>
        <w:t>]</w:t>
      </w:r>
      <w:r>
        <w:t>;</w:t>
      </w:r>
    </w:p>
    <w:p w14:paraId="DF000000">
      <w:pPr>
        <w:pStyle w:val="Style_17"/>
        <w:widowControl w:val="1"/>
        <w:numPr>
          <w:ilvl w:val="0"/>
          <w:numId w:val="2"/>
        </w:numPr>
        <w:ind w:hanging="283" w:left="567"/>
      </w:pPr>
      <w:r>
        <w:t xml:space="preserve">наличие </w:t>
      </w:r>
      <w:r>
        <w:t xml:space="preserve">у пациента </w:t>
      </w:r>
      <w:r>
        <w:t xml:space="preserve">в анамнезе менее чем за 6 месяцев до обращения к стоматологу тяжелой системной патологии (острый инфаркт миокарда, острое нарушение мозгового кровообращения и др.), ограничивающей активность, угрожающей </w:t>
      </w:r>
      <w:r>
        <w:t xml:space="preserve">его </w:t>
      </w:r>
      <w:r>
        <w:t>жизни</w:t>
      </w:r>
      <w:r>
        <w:t>, формирующей</w:t>
      </w:r>
      <w:r>
        <w:t xml:space="preserve"> высокий риск стоматологического лечения (ASA IV) [</w:t>
      </w:r>
      <w:r>
        <w:t>34</w:t>
      </w:r>
      <w:r>
        <w:t>]</w:t>
      </w:r>
      <w:r>
        <w:t>;</w:t>
      </w:r>
    </w:p>
    <w:p w14:paraId="E0000000">
      <w:pPr>
        <w:pStyle w:val="Style_17"/>
        <w:widowControl w:val="1"/>
        <w:numPr>
          <w:ilvl w:val="0"/>
          <w:numId w:val="2"/>
        </w:numPr>
        <w:ind w:hanging="283" w:left="567"/>
      </w:pPr>
      <w:r>
        <w:t xml:space="preserve">отказ </w:t>
      </w:r>
      <w:r>
        <w:t xml:space="preserve">пациента </w:t>
      </w:r>
      <w:r>
        <w:t>от лечения</w:t>
      </w:r>
      <w:r>
        <w:t xml:space="preserve"> или от </w:t>
      </w:r>
      <w:r>
        <w:t xml:space="preserve">конкретного </w:t>
      </w:r>
      <w:r>
        <w:t>метода лечения</w:t>
      </w:r>
      <w:r>
        <w:t>, предлагаемого ему</w:t>
      </w:r>
      <w:r>
        <w:t>.</w:t>
      </w:r>
    </w:p>
    <w:p w14:paraId="E1000000">
      <w:pPr>
        <w:pStyle w:val="Style_17"/>
      </w:pPr>
      <w:r>
        <w:t>Диагностика и последующее лечение</w:t>
      </w:r>
      <w:r>
        <w:t xml:space="preserve"> КЗ</w:t>
      </w:r>
      <w:r>
        <w:t xml:space="preserve"> провод</w:t>
      </w:r>
      <w:r>
        <w:t>ятся</w:t>
      </w:r>
      <w:r>
        <w:t xml:space="preserve"> после получения добровольного информированного согласия</w:t>
      </w:r>
      <w:r>
        <w:t xml:space="preserve"> пациента</w:t>
      </w:r>
      <w:r>
        <w:t>.</w:t>
      </w:r>
    </w:p>
    <w:p w14:paraId="E2000000">
      <w:pPr>
        <w:widowControl w:val="1"/>
        <w:ind/>
        <w:jc w:val="center"/>
      </w:pPr>
      <w:r>
        <w:t xml:space="preserve">Таблица 1 Требования к </w:t>
      </w:r>
      <w:r>
        <w:t>диагностике</w:t>
      </w:r>
      <w:r>
        <w:t xml:space="preserve"> </w:t>
      </w:r>
      <w:r>
        <w:t>кариеса</w:t>
      </w:r>
      <w:r>
        <w:t xml:space="preserve"> зубов в амбулаторно-поликлиническ</w:t>
      </w:r>
      <w:r>
        <w:t>их условиях</w:t>
      </w:r>
    </w:p>
    <w:tbl>
      <w:tblPr>
        <w:tblStyle w:val="Style_20"/>
        <w:tblW w:type="auto" w:w="0"/>
        <w:tblInd w:type="dxa" w:w="-10"/>
        <w:tblLayout w:type="fixed"/>
        <w:tblCellMar>
          <w:top w:type="dxa" w:w="75"/>
          <w:left w:type="dxa" w:w="75"/>
          <w:bottom w:type="dxa" w:w="75"/>
          <w:right w:type="dxa" w:w="75"/>
        </w:tblCellMar>
      </w:tblPr>
      <w:tblGrid>
        <w:gridCol w:w="1361"/>
        <w:gridCol w:w="5660"/>
        <w:gridCol w:w="2713"/>
      </w:tblGrid>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3000000">
            <w:pPr>
              <w:widowControl w:val="1"/>
              <w:spacing w:line="240" w:lineRule="auto"/>
              <w:ind w:firstLine="0"/>
              <w:jc w:val="center"/>
            </w:pPr>
            <w:r>
              <w:t>Код</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4000000">
            <w:pPr>
              <w:widowControl w:val="1"/>
              <w:spacing w:line="240" w:lineRule="auto"/>
              <w:ind w:firstLine="0"/>
              <w:jc w:val="center"/>
            </w:pPr>
            <w:r>
              <w:t>Название</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E5000000">
            <w:pPr>
              <w:widowControl w:val="1"/>
              <w:spacing w:line="240" w:lineRule="auto"/>
              <w:ind w:firstLine="0"/>
              <w:jc w:val="center"/>
            </w:pPr>
            <w:r>
              <w:t>Кратность выполнения*</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6000000">
            <w:pPr>
              <w:widowControl w:val="1"/>
              <w:spacing w:line="240" w:lineRule="auto"/>
              <w:ind w:firstLine="0"/>
            </w:pPr>
            <w:r>
              <w:t>А01.07.001</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7000000">
            <w:pPr>
              <w:widowControl w:val="1"/>
              <w:spacing w:line="240" w:lineRule="auto"/>
              <w:ind w:firstLine="0"/>
            </w:pPr>
            <w:r>
              <w:t>Сбор анамнеза и жалоб при патологии полости рта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E8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9000000">
            <w:pPr>
              <w:widowControl w:val="1"/>
              <w:spacing w:line="240" w:lineRule="auto"/>
              <w:ind w:firstLine="0"/>
            </w:pPr>
            <w:r>
              <w:t>А01.07.002</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A000000">
            <w:pPr>
              <w:widowControl w:val="1"/>
              <w:spacing w:line="240" w:lineRule="auto"/>
              <w:ind w:firstLine="0"/>
            </w:pPr>
            <w:r>
              <w:t>Визуальное исследование при патологии полости рта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EB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C000000">
            <w:pPr>
              <w:widowControl w:val="1"/>
              <w:spacing w:line="240" w:lineRule="auto"/>
              <w:ind w:firstLine="0"/>
            </w:pPr>
            <w:r>
              <w:t>А01.07.005</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D000000">
            <w:pPr>
              <w:widowControl w:val="1"/>
              <w:spacing w:line="240" w:lineRule="auto"/>
              <w:ind w:firstLine="0"/>
            </w:pPr>
            <w:r>
              <w:t>Внешний осмотр челюстно-лицевой области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EE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EF000000">
            <w:pPr>
              <w:widowControl w:val="1"/>
              <w:spacing w:line="240" w:lineRule="auto"/>
              <w:ind w:firstLine="0"/>
            </w:pPr>
            <w:r>
              <w:t>А02.07.001</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0000000">
            <w:pPr>
              <w:widowControl w:val="1"/>
              <w:spacing w:line="240" w:lineRule="auto"/>
              <w:ind w:firstLine="0"/>
            </w:pPr>
            <w:r>
              <w:t>Осмотр полости рта с помощью дополнительных инструментов</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F1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2000000">
            <w:pPr>
              <w:widowControl w:val="1"/>
              <w:spacing w:line="240" w:lineRule="auto"/>
              <w:ind w:firstLine="0"/>
            </w:pPr>
            <w:r>
              <w:t>А01.07.004</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3000000">
            <w:pPr>
              <w:widowControl w:val="1"/>
              <w:spacing w:line="240" w:lineRule="auto"/>
              <w:ind w:firstLine="0"/>
            </w:pPr>
            <w:r>
              <w:t>Перкуссия при патологии полости рта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F4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5000000">
            <w:pPr>
              <w:widowControl w:val="1"/>
              <w:spacing w:line="240" w:lineRule="auto"/>
              <w:ind w:firstLine="0"/>
            </w:pPr>
            <w:r>
              <w:t>А 02.07.002</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6000000">
            <w:pPr>
              <w:widowControl w:val="1"/>
              <w:spacing w:line="240" w:lineRule="auto"/>
              <w:ind w:firstLine="0"/>
            </w:pPr>
            <w:r>
              <w:t>Исследование кариозных полостей с использованием стоматологического зонда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F7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8000000">
            <w:pPr>
              <w:widowControl w:val="1"/>
              <w:spacing w:line="240" w:lineRule="auto"/>
              <w:ind w:firstLine="0"/>
            </w:pPr>
            <w:r>
              <w:t>А02.07.006</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9000000">
            <w:pPr>
              <w:widowControl w:val="1"/>
              <w:spacing w:line="240" w:lineRule="auto"/>
              <w:ind w:firstLine="0"/>
            </w:pPr>
            <w:r>
              <w:t>Определение прикуса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FA000000">
            <w:pPr>
              <w:widowControl w:val="1"/>
              <w:spacing w:line="240" w:lineRule="auto"/>
              <w:ind w:firstLine="0"/>
            </w:pPr>
            <w:r>
              <w:t>1</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B000000">
            <w:pPr>
              <w:widowControl w:val="1"/>
              <w:spacing w:line="240" w:lineRule="auto"/>
              <w:ind w:firstLine="0"/>
            </w:pPr>
            <w:r>
              <w:t>A06.07.004</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C000000">
            <w:pPr>
              <w:widowControl w:val="1"/>
              <w:spacing w:line="240" w:lineRule="auto"/>
              <w:ind w:firstLine="0"/>
            </w:pPr>
            <w:r>
              <w:t>Ортопантомография</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FD00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E000000">
            <w:pPr>
              <w:widowControl w:val="1"/>
              <w:spacing w:line="240" w:lineRule="auto"/>
              <w:ind w:firstLine="0"/>
            </w:pPr>
            <w:r>
              <w:t>A06.07.003</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FF000000">
            <w:pPr>
              <w:widowControl w:val="1"/>
              <w:spacing w:line="240" w:lineRule="auto"/>
              <w:ind w:firstLine="0"/>
            </w:pPr>
            <w:r>
              <w:t>Прицельная внутриротовая контактная рентгенография</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0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1010000">
            <w:pPr>
              <w:widowControl w:val="1"/>
              <w:spacing w:line="240" w:lineRule="auto"/>
              <w:ind w:firstLine="0"/>
            </w:pPr>
            <w:r>
              <w:t>A06.07.007</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2010000">
            <w:pPr>
              <w:widowControl w:val="1"/>
              <w:spacing w:line="240" w:lineRule="auto"/>
              <w:ind w:firstLine="0"/>
            </w:pPr>
            <w:r>
              <w:t>Внутриротовая рентгенография в прикус</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3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4010000">
            <w:pPr>
              <w:widowControl w:val="1"/>
              <w:spacing w:line="240" w:lineRule="auto"/>
              <w:ind w:firstLine="0"/>
            </w:pPr>
            <w:r>
              <w:t>A06.07.001</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5010000">
            <w:pPr>
              <w:widowControl w:val="1"/>
              <w:spacing w:line="240" w:lineRule="auto"/>
              <w:ind w:firstLine="0"/>
            </w:pPr>
            <w:r>
              <w:t>Панорамная рентгенография верхней челюсти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6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7010000">
            <w:pPr>
              <w:widowControl w:val="1"/>
              <w:spacing w:line="240" w:lineRule="auto"/>
              <w:ind w:firstLine="0"/>
            </w:pPr>
            <w:r>
              <w:t>A06.07.002</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8010000">
            <w:pPr>
              <w:widowControl w:val="1"/>
              <w:spacing w:line="240" w:lineRule="auto"/>
              <w:ind w:firstLine="0"/>
            </w:pPr>
            <w:r>
              <w:t>Панорамная рентгенография нижней челюсти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9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A010000">
            <w:pPr>
              <w:widowControl w:val="1"/>
              <w:spacing w:line="240" w:lineRule="auto"/>
              <w:ind w:firstLine="0"/>
            </w:pPr>
            <w:r>
              <w:t>A06.07.008</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B010000">
            <w:pPr>
              <w:widowControl w:val="1"/>
              <w:spacing w:line="240" w:lineRule="auto"/>
              <w:ind w:firstLine="0"/>
            </w:pPr>
            <w:r>
              <w:t>Рентгенография верхней челюсти в косой проекции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C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D010000">
            <w:pPr>
              <w:widowControl w:val="1"/>
              <w:spacing w:line="240" w:lineRule="auto"/>
              <w:ind w:firstLine="0"/>
            </w:pPr>
            <w:r>
              <w:t>A06.07.009</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0E010000">
            <w:pPr>
              <w:widowControl w:val="1"/>
              <w:spacing w:line="240" w:lineRule="auto"/>
              <w:ind w:firstLine="0"/>
            </w:pPr>
            <w:r>
              <w:t>Рентгенография нижней челюсти в боковой проекции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0F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0010000">
            <w:pPr>
              <w:widowControl w:val="1"/>
              <w:spacing w:line="240" w:lineRule="auto"/>
              <w:ind w:firstLine="0"/>
            </w:pPr>
            <w:r>
              <w:t>А12.07.003</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1010000">
            <w:pPr>
              <w:widowControl w:val="1"/>
              <w:spacing w:line="240" w:lineRule="auto"/>
              <w:ind w:firstLine="0"/>
            </w:pPr>
            <w:r>
              <w:t>Определение индексов гигиены полости рта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12010000">
            <w:pPr>
              <w:widowControl w:val="1"/>
              <w:spacing w:line="240" w:lineRule="auto"/>
              <w:ind w:firstLine="0"/>
              <w:rPr>
                <w:color w:val="FF0000"/>
              </w:rPr>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3010000">
            <w:pPr>
              <w:widowControl w:val="1"/>
              <w:spacing w:line="240" w:lineRule="auto"/>
              <w:ind w:firstLine="0"/>
            </w:pPr>
            <w:r>
              <w:t>A05.07.001</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4010000">
            <w:pPr>
              <w:widowControl w:val="1"/>
              <w:spacing w:line="240" w:lineRule="auto"/>
              <w:ind w:firstLine="0"/>
            </w:pPr>
            <w:r>
              <w:t>Электроодонто</w:t>
            </w:r>
            <w:r>
              <w:t>метрия зуба</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15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6010000">
            <w:pPr>
              <w:widowControl w:val="1"/>
              <w:spacing w:line="240" w:lineRule="auto"/>
              <w:ind w:firstLine="0"/>
            </w:pPr>
            <w:r>
              <w:t>А03.07.002</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vAlign w:val="center"/>
          </w:tcPr>
          <w:p w14:paraId="17010000">
            <w:pPr>
              <w:widowControl w:val="1"/>
              <w:spacing w:line="240" w:lineRule="auto"/>
              <w:ind w:firstLine="0"/>
            </w:pPr>
            <w:r>
              <w:t>Транслюмин</w:t>
            </w:r>
            <w:r>
              <w:t>е</w:t>
            </w:r>
            <w:r>
              <w:t>сцентная стоматоскопия</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18010000">
            <w:pPr>
              <w:widowControl w:val="1"/>
              <w:spacing w:line="240" w:lineRule="auto"/>
              <w:ind w:firstLine="0"/>
            </w:pPr>
            <w:r>
              <w:t>По потребности</w:t>
            </w:r>
          </w:p>
        </w:tc>
      </w:tr>
      <w:tr>
        <w:tc>
          <w:tcPr>
            <w:tcW w:type="dxa" w:w="1361"/>
            <w:tcBorders>
              <w:top w:color="000000" w:sz="4" w:val="single"/>
              <w:left w:color="000000" w:sz="4" w:val="single"/>
              <w:bottom w:color="000000" w:sz="4" w:val="single"/>
            </w:tcBorders>
            <w:shd w:fill="auto" w:val="clear"/>
            <w:tcMar>
              <w:top w:type="dxa" w:w="75"/>
              <w:left w:type="dxa" w:w="75"/>
              <w:bottom w:type="dxa" w:w="75"/>
              <w:right w:type="dxa" w:w="75"/>
            </w:tcMar>
          </w:tcPr>
          <w:p w14:paraId="19010000">
            <w:pPr>
              <w:widowControl w:val="1"/>
              <w:spacing w:line="240" w:lineRule="auto"/>
              <w:ind w:firstLine="0"/>
            </w:pPr>
            <w:r>
              <w:t>A06.07.013</w:t>
            </w:r>
          </w:p>
        </w:tc>
        <w:tc>
          <w:tcPr>
            <w:tcW w:type="dxa" w:w="5660"/>
            <w:tcBorders>
              <w:top w:color="000000" w:sz="4" w:val="single"/>
              <w:left w:color="000000" w:sz="4" w:val="single"/>
              <w:bottom w:color="000000" w:sz="4" w:val="single"/>
            </w:tcBorders>
            <w:shd w:fill="auto" w:val="clear"/>
            <w:tcMar>
              <w:top w:type="dxa" w:w="75"/>
              <w:left w:type="dxa" w:w="75"/>
              <w:bottom w:type="dxa" w:w="75"/>
              <w:right w:type="dxa" w:w="75"/>
            </w:tcMar>
          </w:tcPr>
          <w:p w14:paraId="1A010000">
            <w:pPr>
              <w:widowControl w:val="1"/>
              <w:spacing w:line="240" w:lineRule="auto"/>
              <w:ind w:firstLine="0"/>
            </w:pPr>
            <w:r>
              <w:t>Компьютерная томография челюстно-лицевой области</w:t>
            </w:r>
          </w:p>
        </w:tc>
        <w:tc>
          <w:tcPr>
            <w:tcW w:type="dxa" w:w="2713"/>
            <w:tcBorders>
              <w:top w:color="000000" w:sz="4" w:val="single"/>
              <w:left w:color="000000" w:sz="4" w:val="single"/>
              <w:bottom w:color="000000" w:sz="4" w:val="single"/>
              <w:right w:color="000000" w:sz="4" w:val="single"/>
            </w:tcBorders>
            <w:shd w:fill="auto" w:val="clear"/>
            <w:tcMar>
              <w:top w:type="dxa" w:w="75"/>
              <w:left w:type="dxa" w:w="75"/>
              <w:bottom w:type="dxa" w:w="75"/>
              <w:right w:type="dxa" w:w="75"/>
            </w:tcMar>
            <w:vAlign w:val="center"/>
          </w:tcPr>
          <w:p w14:paraId="1B010000">
            <w:pPr>
              <w:widowControl w:val="1"/>
              <w:spacing w:line="240" w:lineRule="auto"/>
              <w:ind w:firstLine="0"/>
            </w:pPr>
            <w:r>
              <w:t>По потребности</w:t>
            </w:r>
          </w:p>
        </w:tc>
      </w:tr>
    </w:tbl>
    <w:p w14:paraId="1C010000">
      <w:pPr>
        <w:pStyle w:val="Style_17"/>
      </w:pPr>
    </w:p>
    <w:p w14:paraId="1D010000">
      <w:bookmarkStart w:id="24" w:name="__RefHeading___13"/>
      <w:bookmarkEnd w:id="24"/>
      <w:pPr>
        <w:pStyle w:val="Style_18"/>
      </w:pPr>
      <w:r>
        <w:t>6.</w:t>
      </w:r>
      <w:r>
        <w:t>1</w:t>
      </w:r>
      <w:r>
        <w:t>.</w:t>
      </w:r>
      <w:r>
        <w:t xml:space="preserve"> Жалобы и анамнез</w:t>
      </w:r>
    </w:p>
    <w:p w14:paraId="1E010000">
      <w:pPr>
        <w:pStyle w:val="Style_21"/>
      </w:pPr>
      <w:r>
        <w:t>Рекомендуется п</w:t>
      </w:r>
      <w:r>
        <w:t>ри сборе анамнеза ц</w:t>
      </w:r>
      <w:r>
        <w:t>еленаправленно выявля</w:t>
      </w:r>
      <w:r>
        <w:t>т</w:t>
      </w:r>
      <w:r>
        <w:t>ь</w:t>
      </w:r>
      <w:r>
        <w:t xml:space="preserve">: </w:t>
      </w:r>
    </w:p>
    <w:p w14:paraId="1F010000">
      <w:pPr>
        <w:pStyle w:val="Style_17"/>
        <w:widowControl w:val="1"/>
        <w:numPr>
          <w:ilvl w:val="0"/>
          <w:numId w:val="3"/>
        </w:numPr>
        <w:ind w:hanging="284" w:left="851"/>
      </w:pPr>
      <w:r>
        <w:t>н</w:t>
      </w:r>
      <w:r>
        <w:t>аличие жалоб на боль (дискомфорт) в области конкретного зуба в причинной связи с действием температурных/химических/механических раздражителей</w:t>
      </w:r>
      <w:r>
        <w:t xml:space="preserve"> с уточнением длительности, характера и возможных причин их возникновения [1];</w:t>
      </w:r>
    </w:p>
    <w:p w14:paraId="20010000">
      <w:pPr>
        <w:pStyle w:val="Style_17"/>
        <w:widowControl w:val="1"/>
        <w:ind w:hanging="284" w:left="851"/>
      </w:pPr>
      <w:r>
        <w:t>-</w:t>
      </w:r>
      <w:r>
        <w:t>н</w:t>
      </w:r>
      <w:r>
        <w:t>аличие жалоб на эстетический дефект в области конкретного зуба / на удовлетворенность пациента своим внешним видом;</w:t>
      </w:r>
    </w:p>
    <w:p w14:paraId="21010000">
      <w:pPr>
        <w:pStyle w:val="Style_17"/>
        <w:widowControl w:val="1"/>
        <w:numPr>
          <w:ilvl w:val="0"/>
          <w:numId w:val="3"/>
        </w:numPr>
        <w:ind w:hanging="284" w:left="851"/>
      </w:pPr>
      <w:r>
        <w:t>н</w:t>
      </w:r>
      <w:r>
        <w:t>аличие жалоб на застревание пищи между зубами;</w:t>
      </w:r>
    </w:p>
    <w:p w14:paraId="22010000">
      <w:pPr>
        <w:pStyle w:val="Style_17"/>
        <w:widowControl w:val="1"/>
        <w:numPr>
          <w:ilvl w:val="0"/>
          <w:numId w:val="3"/>
        </w:numPr>
        <w:ind w:hanging="284" w:left="851"/>
      </w:pPr>
      <w:r>
        <w:t>сроки появления жалоб;</w:t>
      </w:r>
    </w:p>
    <w:p w14:paraId="23010000">
      <w:pPr>
        <w:pStyle w:val="Style_17"/>
        <w:widowControl w:val="1"/>
        <w:numPr>
          <w:ilvl w:val="0"/>
          <w:numId w:val="3"/>
        </w:numPr>
        <w:ind w:hanging="284" w:left="851"/>
      </w:pPr>
      <w:r>
        <w:t>н</w:t>
      </w:r>
      <w:r>
        <w:t>аличие профессиональных вредностей</w:t>
      </w:r>
      <w:r>
        <w:t>;</w:t>
      </w:r>
    </w:p>
    <w:p w14:paraId="24010000">
      <w:pPr>
        <w:pStyle w:val="Style_17"/>
        <w:widowControl w:val="1"/>
        <w:numPr>
          <w:ilvl w:val="0"/>
          <w:numId w:val="3"/>
        </w:numPr>
        <w:ind w:hanging="284" w:left="851"/>
      </w:pPr>
      <w:r>
        <w:t xml:space="preserve">особенности пищевого рациона; </w:t>
      </w:r>
    </w:p>
    <w:p w14:paraId="25010000">
      <w:pPr>
        <w:pStyle w:val="Style_17"/>
        <w:widowControl w:val="1"/>
        <w:numPr>
          <w:ilvl w:val="0"/>
          <w:numId w:val="3"/>
        </w:numPr>
        <w:ind w:hanging="284" w:left="851"/>
      </w:pPr>
      <w:r>
        <w:t xml:space="preserve">персональное отношение пациента к </w:t>
      </w:r>
      <w:r>
        <w:t>ГПР</w:t>
      </w:r>
      <w:r>
        <w:t xml:space="preserve">, </w:t>
      </w:r>
      <w:r>
        <w:t>состояние его</w:t>
      </w:r>
      <w:r>
        <w:t xml:space="preserve"> гигиенических навыков, используемые </w:t>
      </w:r>
      <w:r>
        <w:t xml:space="preserve">им </w:t>
      </w:r>
      <w:r>
        <w:t xml:space="preserve">методы и средства </w:t>
      </w:r>
      <w:r>
        <w:t xml:space="preserve">индивидуальной </w:t>
      </w:r>
      <w:r>
        <w:t>ГПР</w:t>
      </w:r>
      <w:r>
        <w:t xml:space="preserve"> [3, 35, 36]</w:t>
      </w:r>
      <w:r>
        <w:t>;</w:t>
      </w:r>
    </w:p>
    <w:p w14:paraId="26010000">
      <w:pPr>
        <w:pStyle w:val="Style_17"/>
        <w:widowControl w:val="1"/>
        <w:numPr>
          <w:ilvl w:val="0"/>
          <w:numId w:val="3"/>
        </w:numPr>
        <w:ind w:hanging="284" w:left="851"/>
      </w:pPr>
      <w:r>
        <w:t>регион рождения и проживания пациента (эндемически</w:t>
      </w:r>
      <w:r>
        <w:t>е</w:t>
      </w:r>
      <w:r>
        <w:t xml:space="preserve"> район</w:t>
      </w:r>
      <w:r>
        <w:t>ы</w:t>
      </w:r>
      <w:r>
        <w:t xml:space="preserve"> флюороза); </w:t>
      </w:r>
    </w:p>
    <w:p w14:paraId="27010000">
      <w:pPr>
        <w:pStyle w:val="Style_17"/>
        <w:widowControl w:val="1"/>
        <w:numPr>
          <w:ilvl w:val="0"/>
          <w:numId w:val="4"/>
        </w:numPr>
        <w:ind w:hanging="284" w:left="851"/>
      </w:pPr>
      <w:r>
        <w:t xml:space="preserve">наличие </w:t>
      </w:r>
      <w:r>
        <w:t>заболевани</w:t>
      </w:r>
      <w:r>
        <w:t>й</w:t>
      </w:r>
      <w:r>
        <w:t xml:space="preserve"> пародонта и органов </w:t>
      </w:r>
      <w:r>
        <w:t>ПР</w:t>
      </w:r>
      <w:r>
        <w:t xml:space="preserve"> </w:t>
      </w:r>
      <w:r>
        <w:t>[37]</w:t>
      </w:r>
      <w:r>
        <w:t>;</w:t>
      </w:r>
    </w:p>
    <w:p w14:paraId="28010000">
      <w:pPr>
        <w:pStyle w:val="Style_17"/>
        <w:widowControl w:val="1"/>
        <w:numPr>
          <w:ilvl w:val="0"/>
          <w:numId w:val="4"/>
        </w:numPr>
        <w:ind w:hanging="284" w:left="851"/>
      </w:pPr>
      <w:r>
        <w:t xml:space="preserve">наличие непереносимости лекарственных препаратов и </w:t>
      </w:r>
      <w:r>
        <w:t xml:space="preserve">стоматологических </w:t>
      </w:r>
      <w:r>
        <w:t xml:space="preserve">материалов, </w:t>
      </w:r>
      <w:r>
        <w:t xml:space="preserve">предлагаемых / планируемых для лечения </w:t>
      </w:r>
      <w:r>
        <w:t>КЗ</w:t>
      </w:r>
      <w:r>
        <w:t xml:space="preserve"> [37]</w:t>
      </w:r>
      <w:r>
        <w:t xml:space="preserve">; </w:t>
      </w:r>
    </w:p>
    <w:p w14:paraId="29010000">
      <w:pPr>
        <w:pStyle w:val="Style_17"/>
        <w:widowControl w:val="1"/>
        <w:numPr>
          <w:ilvl w:val="0"/>
          <w:numId w:val="4"/>
        </w:numPr>
        <w:ind w:hanging="284" w:left="851"/>
      </w:pPr>
      <w:r>
        <w:t xml:space="preserve">наличие </w:t>
      </w:r>
      <w:r>
        <w:t>сопутствующи</w:t>
      </w:r>
      <w:r>
        <w:t>х системных</w:t>
      </w:r>
      <w:r>
        <w:t xml:space="preserve"> заболевани</w:t>
      </w:r>
      <w:r>
        <w:t>й</w:t>
      </w:r>
      <w:r>
        <w:t>, отягощающи</w:t>
      </w:r>
      <w:r>
        <w:t>х</w:t>
      </w:r>
      <w:r>
        <w:t xml:space="preserve"> </w:t>
      </w:r>
      <w:r>
        <w:t xml:space="preserve">стоматологическое </w:t>
      </w:r>
      <w:r>
        <w:t>лечение</w:t>
      </w:r>
      <w:r>
        <w:t xml:space="preserve"> или исключающих его</w:t>
      </w:r>
      <w:r>
        <w:t xml:space="preserve"> [34, 3</w:t>
      </w:r>
      <w:r>
        <w:t>9</w:t>
      </w:r>
      <w:r>
        <w:t xml:space="preserve">, </w:t>
      </w:r>
      <w:r>
        <w:t>40</w:t>
      </w:r>
      <w:r>
        <w:t xml:space="preserve">, </w:t>
      </w:r>
      <w:r>
        <w:t>41</w:t>
      </w:r>
      <w:r>
        <w:t>, 276, 278</w:t>
      </w:r>
      <w:r>
        <w:t>]</w:t>
      </w:r>
      <w:r>
        <w:t xml:space="preserve">; </w:t>
      </w:r>
    </w:p>
    <w:p w14:paraId="2A010000">
      <w:pPr>
        <w:pStyle w:val="Style_17"/>
        <w:widowControl w:val="1"/>
        <w:numPr>
          <w:ilvl w:val="0"/>
          <w:numId w:val="4"/>
        </w:numPr>
        <w:ind w:hanging="284" w:left="851"/>
        <w:rPr>
          <w:b w:val="1"/>
          <w:i w:val="1"/>
          <w:sz w:val="20"/>
        </w:rPr>
      </w:pPr>
      <w:r>
        <w:t xml:space="preserve">отказ от лечения </w:t>
      </w:r>
      <w:r>
        <w:t xml:space="preserve">КЗ </w:t>
      </w:r>
      <w:r>
        <w:t>в анамнезе</w:t>
      </w:r>
      <w:r>
        <w:t>;</w:t>
      </w:r>
    </w:p>
    <w:p w14:paraId="2B010000">
      <w:pPr>
        <w:pStyle w:val="Style_17"/>
        <w:widowControl w:val="1"/>
        <w:numPr>
          <w:ilvl w:val="0"/>
          <w:numId w:val="4"/>
        </w:numPr>
        <w:ind w:hanging="284" w:left="851"/>
        <w:rPr>
          <w:b w:val="1"/>
          <w:i w:val="1"/>
          <w:sz w:val="20"/>
        </w:rPr>
      </w:pPr>
      <w:r>
        <w:t>характер и удовлетворенность пациента предшествующим стоматологическим лечением</w:t>
      </w:r>
      <w:r>
        <w:t xml:space="preserve"> КЗ</w:t>
      </w:r>
      <w:r>
        <w:t>, если таковое проводилось ранее</w:t>
      </w:r>
      <w:r>
        <w:t>.</w:t>
      </w:r>
    </w:p>
    <w:p w14:paraId="2C010000">
      <w:pPr>
        <w:pStyle w:val="Style_22"/>
        <w:widowControl w:val="1"/>
        <w:ind w:firstLine="709" w:left="0"/>
      </w:pPr>
      <w:r>
        <w:rPr>
          <w:b w:val="1"/>
          <w:i w:val="0"/>
        </w:rPr>
        <w:t>К</w:t>
      </w:r>
      <w:r>
        <w:rPr>
          <w:b w:val="1"/>
          <w:i w:val="0"/>
        </w:rPr>
        <w:t>омментарии:</w:t>
      </w:r>
      <w:r>
        <w:t xml:space="preserve"> </w:t>
      </w:r>
      <w:r>
        <w:t xml:space="preserve">Жалобы при </w:t>
      </w:r>
      <w:r>
        <w:t>КЗ</w:t>
      </w:r>
      <w:r>
        <w:t xml:space="preserve"> характеризуются многообразием и зависят от глубины</w:t>
      </w:r>
      <w:r>
        <w:t>,</w:t>
      </w:r>
      <w:r>
        <w:t xml:space="preserve"> топографии</w:t>
      </w:r>
      <w:r>
        <w:t>, множественности поражения</w:t>
      </w:r>
      <w:r>
        <w:t xml:space="preserve"> </w:t>
      </w:r>
      <w:r>
        <w:t>и др. факторов</w:t>
      </w:r>
      <w:r>
        <w:t>.</w:t>
      </w:r>
    </w:p>
    <w:p w14:paraId="2D010000">
      <w:pPr>
        <w:pStyle w:val="Style_22"/>
        <w:widowControl w:val="1"/>
        <w:ind w:firstLine="709" w:left="0"/>
      </w:pPr>
      <w:r>
        <w:t xml:space="preserve">При </w:t>
      </w:r>
      <w:r>
        <w:rPr>
          <w:b w:val="1"/>
        </w:rPr>
        <w:t>кариесе эмали [н</w:t>
      </w:r>
      <w:r>
        <w:rPr>
          <w:b w:val="1"/>
        </w:rPr>
        <w:t>ачальный кариес</w:t>
      </w:r>
      <w:r>
        <w:rPr>
          <w:b w:val="1"/>
        </w:rPr>
        <w:t>]</w:t>
      </w:r>
      <w:r>
        <w:t xml:space="preserve"> жалобы м</w:t>
      </w:r>
      <w:r>
        <w:t>огут отсутствовать</w:t>
      </w:r>
      <w:r>
        <w:t>, реже может отмечаться</w:t>
      </w:r>
      <w:r>
        <w:t xml:space="preserve"> кратковременная реакция на химические раздражители (кислое, сладкое, соленое), эстетический дефект.</w:t>
      </w:r>
    </w:p>
    <w:p w14:paraId="2E010000">
      <w:pPr>
        <w:pStyle w:val="Style_22"/>
        <w:widowControl w:val="1"/>
        <w:ind w:firstLine="709" w:left="0"/>
      </w:pPr>
      <w:r>
        <w:t xml:space="preserve">При </w:t>
      </w:r>
      <w:r>
        <w:rPr>
          <w:b w:val="1"/>
        </w:rPr>
        <w:t>к</w:t>
      </w:r>
      <w:r>
        <w:rPr>
          <w:b w:val="1"/>
        </w:rPr>
        <w:t>ариес</w:t>
      </w:r>
      <w:r>
        <w:rPr>
          <w:b w:val="1"/>
        </w:rPr>
        <w:t>е</w:t>
      </w:r>
      <w:r>
        <w:rPr>
          <w:b w:val="1"/>
        </w:rPr>
        <w:t xml:space="preserve"> дентина</w:t>
      </w:r>
      <w:r>
        <w:rPr>
          <w:b w:val="1"/>
        </w:rPr>
        <w:t xml:space="preserve"> </w:t>
      </w:r>
      <w:r>
        <w:rPr>
          <w:b w:val="1"/>
        </w:rPr>
        <w:t>/ кариесе со вскрытием пульпы</w:t>
      </w:r>
      <w:r>
        <w:t xml:space="preserve"> </w:t>
      </w:r>
      <w:r>
        <w:t>отмечаются жалобы н</w:t>
      </w:r>
      <w:r>
        <w:t xml:space="preserve">а </w:t>
      </w:r>
      <w:r>
        <w:t xml:space="preserve">наличие </w:t>
      </w:r>
      <w:r>
        <w:t>полост</w:t>
      </w:r>
      <w:r>
        <w:t>и</w:t>
      </w:r>
      <w:r>
        <w:t xml:space="preserve"> в зубе, </w:t>
      </w:r>
      <w:r>
        <w:t>застревание пищи между зубами или в кариозной полости,</w:t>
      </w:r>
      <w:r>
        <w:t xml:space="preserve"> кратковременную болевую реакцию от температурных, механических и химических раздражителей, проходящую после их устранения</w:t>
      </w:r>
      <w:r>
        <w:t>, жалобы могут отсутствовать</w:t>
      </w:r>
      <w:r>
        <w:t>.</w:t>
      </w:r>
    </w:p>
    <w:p w14:paraId="2F010000">
      <w:pPr>
        <w:pStyle w:val="Style_22"/>
        <w:widowControl w:val="1"/>
        <w:ind w:firstLine="709" w:left="0"/>
      </w:pPr>
      <w:r>
        <w:t xml:space="preserve">При </w:t>
      </w:r>
      <w:r>
        <w:rPr>
          <w:b w:val="1"/>
        </w:rPr>
        <w:t>к</w:t>
      </w:r>
      <w:r>
        <w:rPr>
          <w:b w:val="1"/>
        </w:rPr>
        <w:t>ариес</w:t>
      </w:r>
      <w:r>
        <w:rPr>
          <w:b w:val="1"/>
        </w:rPr>
        <w:t>е</w:t>
      </w:r>
      <w:r>
        <w:rPr>
          <w:b w:val="1"/>
        </w:rPr>
        <w:t xml:space="preserve"> цемента</w:t>
      </w:r>
      <w:r>
        <w:t xml:space="preserve"> отмечаются ж</w:t>
      </w:r>
      <w:r>
        <w:t xml:space="preserve">алобы </w:t>
      </w:r>
      <w:r>
        <w:t>н</w:t>
      </w:r>
      <w:r>
        <w:t xml:space="preserve">а </w:t>
      </w:r>
      <w:r>
        <w:t xml:space="preserve">наличие дефекта корня зуба, преимущественно </w:t>
      </w:r>
      <w:r>
        <w:t xml:space="preserve">у лиц пожилого возраста, </w:t>
      </w:r>
      <w:r>
        <w:t xml:space="preserve">на фоне рецессии десны, </w:t>
      </w:r>
      <w:r>
        <w:t>кратковременную болевую реакцию от температурных, механических и химических раздражителей, проходящую после их устранения</w:t>
      </w:r>
      <w:r>
        <w:t>,</w:t>
      </w:r>
      <w:r>
        <w:t xml:space="preserve"> при попадании пищи</w:t>
      </w:r>
      <w:r>
        <w:t>,</w:t>
      </w:r>
      <w:r>
        <w:t xml:space="preserve"> </w:t>
      </w:r>
      <w:r>
        <w:t>д</w:t>
      </w:r>
      <w:r>
        <w:t xml:space="preserve">искомфорт  и кровоточивость </w:t>
      </w:r>
      <w:r>
        <w:t xml:space="preserve">десны </w:t>
      </w:r>
      <w:r>
        <w:t xml:space="preserve">при чистке зубов, </w:t>
      </w:r>
      <w:r>
        <w:t xml:space="preserve">а также </w:t>
      </w:r>
      <w:r>
        <w:t>при приеме пищи.</w:t>
      </w:r>
    </w:p>
    <w:p w14:paraId="30010000">
      <w:pPr>
        <w:pStyle w:val="Style_22"/>
        <w:widowControl w:val="1"/>
        <w:ind w:firstLine="709" w:left="0"/>
      </w:pPr>
      <w:r>
        <w:rPr>
          <w:b w:val="1"/>
        </w:rPr>
        <w:t>Приостановившийся к</w:t>
      </w:r>
      <w:r>
        <w:rPr>
          <w:b w:val="1"/>
        </w:rPr>
        <w:t>ариес</w:t>
      </w:r>
      <w:r>
        <w:t xml:space="preserve"> </w:t>
      </w:r>
      <w:r>
        <w:t>протекает с жалобами на</w:t>
      </w:r>
      <w:r>
        <w:t xml:space="preserve"> наличие темного пигментированного пятна </w:t>
      </w:r>
      <w:r>
        <w:t xml:space="preserve">на поверхности зуба </w:t>
      </w:r>
      <w:r>
        <w:t xml:space="preserve">или </w:t>
      </w:r>
      <w:r>
        <w:t xml:space="preserve">таковые могут </w:t>
      </w:r>
      <w:r>
        <w:t>отсутств</w:t>
      </w:r>
      <w:r>
        <w:t>овать</w:t>
      </w:r>
      <w:r>
        <w:t>.</w:t>
      </w:r>
    </w:p>
    <w:p w14:paraId="31010000">
      <w:pPr>
        <w:pStyle w:val="Style_22"/>
        <w:widowControl w:val="1"/>
        <w:ind w:firstLine="709" w:left="0"/>
        <w:rPr>
          <w:b w:val="1"/>
        </w:rPr>
      </w:pPr>
      <w:r>
        <w:rPr>
          <w:b w:val="1"/>
        </w:rPr>
        <w:t>При сборе анамнеза целеноправлено выявляют:</w:t>
      </w:r>
    </w:p>
    <w:p w14:paraId="32010000">
      <w:pPr>
        <w:pStyle w:val="Style_22"/>
        <w:widowControl w:val="1"/>
        <w:ind w:left="0"/>
      </w:pPr>
      <w:r>
        <w:t>-</w:t>
      </w:r>
      <w:r>
        <w:t>неадекватное психоэмоциональное состояние пациента перед лечением;</w:t>
      </w:r>
    </w:p>
    <w:p w14:paraId="33010000">
      <w:pPr>
        <w:pStyle w:val="Style_22"/>
        <w:widowControl w:val="1"/>
        <w:ind w:left="0"/>
      </w:pPr>
      <w:r>
        <w:t>-</w:t>
      </w:r>
      <w:r>
        <w:t>отказ от лечения</w:t>
      </w:r>
    </w:p>
    <w:p w14:paraId="34010000">
      <w:bookmarkStart w:id="25" w:name="__RefHeading___14"/>
      <w:bookmarkEnd w:id="25"/>
      <w:pPr>
        <w:pStyle w:val="Style_18"/>
      </w:pPr>
      <w:r>
        <w:t>6.</w:t>
      </w:r>
      <w:r>
        <w:t>2.</w:t>
      </w:r>
      <w:r>
        <w:t>Физикальное</w:t>
      </w:r>
      <w:r>
        <w:t xml:space="preserve"> обследование</w:t>
      </w:r>
      <w:r>
        <w:t>.</w:t>
      </w:r>
    </w:p>
    <w:p w14:paraId="35010000">
      <w:bookmarkStart w:id="26" w:name="__RefHeading___15"/>
      <w:bookmarkEnd w:id="26"/>
      <w:pPr>
        <w:pStyle w:val="Style_18"/>
        <w:rPr>
          <w:u w:val="none"/>
        </w:rPr>
      </w:pPr>
      <w:r>
        <w:rPr>
          <w:u w:val="none"/>
        </w:rPr>
        <w:t>Медицинские услуги для физикального обследования в соответствии с номенклатурой медицинских услуг представлены в Приложении Г (табл. 1).</w:t>
      </w:r>
    </w:p>
    <w:p w14:paraId="36010000">
      <w:pPr>
        <w:pStyle w:val="Style_21"/>
        <w:widowControl w:val="1"/>
        <w:spacing w:before="0"/>
        <w:ind w:hanging="357" w:left="357"/>
        <w:contextualSpacing w:val="1"/>
      </w:pPr>
      <w:r>
        <w:t xml:space="preserve">При физикальном обследовании устанавливается локализация кариеса и степень разрушения коронковой части зуба. </w:t>
      </w:r>
      <w:r>
        <w:t>Осмотр зубов проводится в определенном порядке</w:t>
      </w:r>
      <w:r>
        <w:t>.</w:t>
      </w:r>
    </w:p>
    <w:p w14:paraId="37010000">
      <w:pPr>
        <w:pStyle w:val="Style_21"/>
        <w:widowControl w:val="1"/>
        <w:numPr>
          <w:ilvl w:val="0"/>
          <w:numId w:val="0"/>
        </w:numPr>
        <w:spacing w:before="0"/>
        <w:ind w:left="357"/>
        <w:contextualSpacing w:val="1"/>
      </w:pPr>
      <w:r>
        <w:t>При осмотре определяют и оценивают:</w:t>
      </w:r>
    </w:p>
    <w:p w14:paraId="38010000">
      <w:pPr>
        <w:pStyle w:val="Style_21"/>
        <w:widowControl w:val="1"/>
        <w:spacing w:before="0"/>
        <w:ind w:hanging="357" w:left="357"/>
        <w:contextualSpacing w:val="1"/>
      </w:pPr>
      <w:r>
        <w:t>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w:t>
      </w:r>
    </w:p>
    <w:p w14:paraId="39010000">
      <w:pPr>
        <w:pStyle w:val="Style_21"/>
        <w:widowControl w:val="1"/>
        <w:spacing w:before="0"/>
        <w:ind w:hanging="357" w:left="357"/>
        <w:contextualSpacing w:val="1"/>
      </w:pPr>
      <w:r>
        <w:t>состояние каждого зуба (цвет, рельеф эмали, наличие налета, наличие пятен и их состояние после высушивания поверхности зубов, дефектов);</w:t>
      </w:r>
    </w:p>
    <w:p w14:paraId="3A010000">
      <w:pPr>
        <w:pStyle w:val="Style_21"/>
        <w:widowControl w:val="1"/>
        <w:spacing w:before="0"/>
        <w:ind w:hanging="357" w:left="357"/>
        <w:contextualSpacing w:val="1"/>
      </w:pPr>
      <w:r>
        <w:t>наличие белых матовых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изменений и скорости развития процесса, динамики заболевания, а также дифференциальной диагностики с некариозными поражениями</w:t>
      </w:r>
      <w:r>
        <w:t>.</w:t>
      </w:r>
      <w:r>
        <w:t>.</w:t>
      </w:r>
    </w:p>
    <w:p w14:paraId="3B010000">
      <w:pPr>
        <w:pStyle w:val="Style_21"/>
      </w:pPr>
      <w:r>
        <w:t>Рекомендуется проводить оценку состояния челюстно</w:t>
      </w:r>
      <w:r>
        <w:t>-</w:t>
      </w:r>
      <w:r>
        <w:t xml:space="preserve">лицевой области и собственно </w:t>
      </w:r>
      <w:r>
        <w:t xml:space="preserve">ПР </w:t>
      </w:r>
      <w:r>
        <w:t>в соответстви</w:t>
      </w:r>
      <w:r>
        <w:t>и</w:t>
      </w:r>
      <w:r>
        <w:t xml:space="preserve"> с рекомендациями ВОЗ по обследованию стоматоло</w:t>
      </w:r>
      <w:r>
        <w:t>гических пациентов</w:t>
      </w:r>
      <w:r>
        <w:t xml:space="preserve">: </w:t>
      </w:r>
      <w:r>
        <w:t>сбор анамнеза, исследование внешнего вида, обследование височно-нижнечелюстного сустава (ВНЧС), осмотр полости рта с оценкой слизистой оболочки,</w:t>
      </w:r>
      <w:r>
        <w:t xml:space="preserve"> состояния</w:t>
      </w:r>
      <w:r>
        <w:t xml:space="preserve"> </w:t>
      </w:r>
      <w:r>
        <w:t xml:space="preserve">твердых тканей </w:t>
      </w:r>
      <w:r>
        <w:t>зубов, зубных рядов, тканей пародонта</w:t>
      </w:r>
      <w:r>
        <w:t>,</w:t>
      </w:r>
      <w:r>
        <w:t xml:space="preserve"> имеющихся во рту зубных протезов.</w:t>
      </w:r>
      <w:r>
        <w:t xml:space="preserve"> </w:t>
      </w:r>
      <w:r>
        <w:t>[5]</w:t>
      </w:r>
      <w:r>
        <w:t>.</w:t>
      </w:r>
    </w:p>
    <w:p w14:paraId="3C010000">
      <w:pPr>
        <w:pStyle w:val="Style_21"/>
        <w:widowControl w:val="1"/>
        <w:numPr>
          <w:ilvl w:val="0"/>
          <w:numId w:val="0"/>
        </w:numPr>
        <w:ind w:left="360"/>
      </w:pPr>
      <w:r>
        <w:rPr>
          <w:b w:val="1"/>
        </w:rPr>
        <w:t>Инструментальная диагностика</w:t>
      </w:r>
      <w:r>
        <w:rPr>
          <w:b w:val="1"/>
        </w:rPr>
        <w:t xml:space="preserve"> </w:t>
      </w:r>
    </w:p>
    <w:p w14:paraId="3D010000">
      <w:pPr>
        <w:pStyle w:val="Style_21"/>
        <w:rPr>
          <w:color w:themeColor="text1" w:val="000000"/>
        </w:rPr>
      </w:pPr>
      <w:r>
        <w:rPr>
          <w:b w:val="1"/>
        </w:rPr>
        <w:t>Зондирование</w:t>
      </w:r>
      <w:r>
        <w:t xml:space="preserve"> </w:t>
      </w:r>
      <w:r>
        <w:t xml:space="preserve">с использованием стоматологического зонда </w:t>
      </w:r>
      <w:r>
        <w:t>исследование кариозных полостей для определения глубины, болезненности по эмалево-дентинной границе и в области дна кариозной полости [1, 5, 6, 9].</w:t>
      </w:r>
    </w:p>
    <w:p w14:paraId="3E010000">
      <w:pPr>
        <w:pStyle w:val="Style_21"/>
      </w:pPr>
      <w:r>
        <w:t xml:space="preserve">Рекомендуется при осмотре ПР </w:t>
      </w:r>
      <w:r>
        <w:t>оценить</w:t>
      </w:r>
      <w:r>
        <w:t xml:space="preserve"> состояни</w:t>
      </w:r>
      <w:r>
        <w:t>е</w:t>
      </w:r>
      <w:r>
        <w:t xml:space="preserve"> слизистой оболочки рта</w:t>
      </w:r>
      <w:r>
        <w:t xml:space="preserve"> и пародонта в проекции пораженного кариесом зуба для выявления возможного их травмирования острыми краями зубов / пломб</w:t>
      </w:r>
      <w:r>
        <w:t xml:space="preserve"> </w:t>
      </w:r>
      <w:r>
        <w:t>[1, 2, 42].</w:t>
      </w:r>
    </w:p>
    <w:p w14:paraId="3F010000">
      <w:pPr>
        <w:pStyle w:val="Style_21"/>
      </w:pPr>
      <w:r>
        <w:rPr>
          <w:b w:val="1"/>
        </w:rPr>
        <w:t>Высушивание и витальное окрашивание</w:t>
      </w:r>
      <w:r>
        <w:t xml:space="preserve"> </w:t>
      </w:r>
      <w:r>
        <w:t>зубов помогает обнаружить начальные кариозные и некариозные</w:t>
      </w:r>
      <w:r>
        <w:t xml:space="preserve"> поражения. </w:t>
      </w:r>
      <w:r>
        <w:t>с целью дифференциальной диагностики с некариозными поражениями</w:t>
      </w:r>
      <w:r>
        <w:t xml:space="preserve"> и планирования лечения</w:t>
      </w:r>
      <w:r>
        <w:t xml:space="preserve"> [1, 2, 6].</w:t>
      </w:r>
    </w:p>
    <w:p w14:paraId="40010000">
      <w:pPr>
        <w:pStyle w:val="Style_21"/>
      </w:pPr>
      <w:r>
        <w:t xml:space="preserve">Уровень убедительности </w:t>
      </w:r>
      <w:r>
        <w:t>A</w:t>
      </w:r>
      <w:r>
        <w:t xml:space="preserve"> </w:t>
      </w:r>
      <w:r>
        <w:t xml:space="preserve">(уровень достоверности доказательств – </w:t>
      </w:r>
      <w:r>
        <w:t>1</w:t>
      </w:r>
      <w:r>
        <w:t xml:space="preserve">) </w:t>
      </w:r>
    </w:p>
    <w:p w14:paraId="41010000">
      <w:pPr>
        <w:pStyle w:val="Style_22"/>
        <w:rPr>
          <w:color w:val="7030A0"/>
        </w:rPr>
      </w:pPr>
      <w:r>
        <w:rPr>
          <w:b w:val="1"/>
        </w:rPr>
        <w:t>Комментарии:</w:t>
      </w:r>
      <w:r>
        <w:t xml:space="preserve"> Метод основан на изменении диффузионных свойств эмали, регистрируемом с помощью жидких ядерных красителей типа метиленового синего, основного фуксина и др. Участки деминерализованной эмали хорошо пропускают краситель и легко прокрашиваются, тогда как при некариозных заболеваниях эмаль не впитывает краситель (за исключением некроза твердых тканей зуба) и не прокрашивается</w:t>
      </w:r>
      <w:r>
        <w:t>.</w:t>
      </w:r>
      <w:r>
        <w:t xml:space="preserve"> </w:t>
      </w:r>
    </w:p>
    <w:p w14:paraId="42010000">
      <w:pPr>
        <w:pStyle w:val="Style_21"/>
      </w:pPr>
      <w:r>
        <w:t xml:space="preserve">Рекомендуется </w:t>
      </w:r>
      <w:r>
        <w:t>использ</w:t>
      </w:r>
      <w:r>
        <w:t>овать</w:t>
      </w:r>
      <w:r>
        <w:t xml:space="preserve"> индекс КПУ(з)</w:t>
      </w:r>
      <w:r>
        <w:t xml:space="preserve">, </w:t>
      </w:r>
      <w:r>
        <w:t xml:space="preserve">для оценки </w:t>
      </w:r>
      <w:r>
        <w:t xml:space="preserve">интенсивности </w:t>
      </w:r>
      <w:r>
        <w:t>КЗ</w:t>
      </w:r>
      <w:r>
        <w:t xml:space="preserve"> </w:t>
      </w:r>
      <w:r>
        <w:t>рассчитывая</w:t>
      </w:r>
      <w:r>
        <w:t xml:space="preserve"> сумм</w:t>
      </w:r>
      <w:r>
        <w:t>у</w:t>
      </w:r>
      <w:r>
        <w:t xml:space="preserve"> пораженных кариесом, запломбированных и удаленных </w:t>
      </w:r>
      <w:r>
        <w:t xml:space="preserve">по поводу кариеса </w:t>
      </w:r>
      <w:r>
        <w:t>зубов у одного обследованного</w:t>
      </w:r>
      <w:r>
        <w:t xml:space="preserve"> [1, 5, 28]</w:t>
      </w:r>
      <w:r>
        <w:t>.</w:t>
      </w:r>
    </w:p>
    <w:p w14:paraId="43010000">
      <w:pPr>
        <w:pStyle w:val="Style_21"/>
      </w:pPr>
      <w:r>
        <w:t xml:space="preserve">  </w:t>
      </w:r>
      <w:r>
        <w:rPr>
          <w:b w:val="1"/>
        </w:rPr>
        <w:t>Т</w:t>
      </w:r>
      <w:r>
        <w:rPr>
          <w:b w:val="1"/>
        </w:rPr>
        <w:t>ермо</w:t>
      </w:r>
      <w:r>
        <w:rPr>
          <w:b w:val="1"/>
        </w:rPr>
        <w:t>метрия</w:t>
      </w:r>
      <w:r>
        <w:t xml:space="preserve">  зуба</w:t>
      </w:r>
      <w:r>
        <w:t xml:space="preserve"> </w:t>
      </w:r>
      <w:r>
        <w:t>проводится</w:t>
      </w:r>
      <w:r>
        <w:t xml:space="preserve">для выявления болевой реакции </w:t>
      </w:r>
      <w:r>
        <w:t xml:space="preserve">зуба на холодовой раздражитель </w:t>
      </w:r>
      <w:r>
        <w:t>с целью определения жизнеспособности пульпы</w:t>
      </w:r>
      <w:r>
        <w:t xml:space="preserve"> и дифференциальной диагностики неосложненного и осложненного КЗ</w:t>
      </w:r>
      <w:r>
        <w:t xml:space="preserve"> [1</w:t>
      </w:r>
      <w:r>
        <w:t>, 54</w:t>
      </w:r>
      <w:r>
        <w:t>-56</w:t>
      </w:r>
      <w:r>
        <w:t>]</w:t>
      </w:r>
      <w:r>
        <w:t>.</w:t>
      </w:r>
    </w:p>
    <w:p w14:paraId="44010000">
      <w:pPr>
        <w:pStyle w:val="Style_23"/>
      </w:pPr>
      <w:r>
        <w:t xml:space="preserve">Уровень убедительности </w:t>
      </w:r>
      <w:r>
        <w:t>A</w:t>
      </w:r>
      <w:r>
        <w:t xml:space="preserve"> </w:t>
      </w:r>
      <w:r>
        <w:t xml:space="preserve">(уровень достоверности доказательств – </w:t>
      </w:r>
      <w:r>
        <w:t>1</w:t>
      </w:r>
      <w:r>
        <w:t xml:space="preserve">) </w:t>
      </w:r>
    </w:p>
    <w:p w14:paraId="45010000">
      <w:pPr>
        <w:pStyle w:val="Style_22"/>
        <w:widowControl w:val="1"/>
        <w:ind w:firstLine="709" w:left="0"/>
      </w:pPr>
      <w:r>
        <w:rPr>
          <w:b w:val="1"/>
        </w:rPr>
        <w:t>Комментарии</w:t>
      </w:r>
      <w:r>
        <w:rPr>
          <w:b w:val="1"/>
        </w:rPr>
        <w:t>:</w:t>
      </w:r>
      <w:r>
        <w:t xml:space="preserve"> </w:t>
      </w:r>
      <w:r>
        <w:t xml:space="preserve">Для постановки предварительного диагноза </w:t>
      </w:r>
      <w:r>
        <w:t>КЗ</w:t>
      </w:r>
      <w:r>
        <w:t xml:space="preserve"> проводится термодиагностика зуба. В норме колебания температуры в границах от 17-22 до 50-52°С (индифферентная зона) не вызывают болевой реакции зуба. При вовлечении в патологический процесс пульпы зубы границы индифферентной зоны сужаются и зуб реагирует на холод</w:t>
      </w:r>
      <w:r>
        <w:t>овой</w:t>
      </w:r>
      <w:r>
        <w:t xml:space="preserve"> раздражитель болевой реакцией</w:t>
      </w:r>
      <w:r>
        <w:t>, реагирует</w:t>
      </w:r>
      <w:r>
        <w:t xml:space="preserve"> на воду комнатной температуры (18-22°С) или же теплую (45-50°С). Чувствительность, специфичность, положительная прогностическая ценность и отрицательное прогностическое значение для холодо</w:t>
      </w:r>
      <w:r>
        <w:t>во</w:t>
      </w:r>
      <w:r>
        <w:t>го теста составляет соответственно 0,81; 0,92; 0,92; 0,81</w:t>
      </w:r>
      <w:r>
        <w:t>.</w:t>
      </w:r>
      <w:r>
        <w:t xml:space="preserve"> </w:t>
      </w:r>
    </w:p>
    <w:p w14:paraId="46010000">
      <w:pPr>
        <w:pStyle w:val="Style_21"/>
      </w:pPr>
      <w:r>
        <w:t xml:space="preserve">Рекомендуется </w:t>
      </w:r>
      <w:r>
        <w:t>для уточнения диагноза и получения более полных данных о состоянии пульпы</w:t>
      </w:r>
      <w:r>
        <w:t xml:space="preserve"> проведение м</w:t>
      </w:r>
      <w:r>
        <w:t>етод</w:t>
      </w:r>
      <w:r>
        <w:t>а</w:t>
      </w:r>
      <w:r>
        <w:t xml:space="preserve"> </w:t>
      </w:r>
      <w:r>
        <w:rPr>
          <w:b w:val="1"/>
        </w:rPr>
        <w:t>электроодонтодиагностики</w:t>
      </w:r>
      <w:r>
        <w:t xml:space="preserve"> (ЭОД)</w:t>
      </w:r>
      <w:r>
        <w:t xml:space="preserve"> </w:t>
      </w:r>
      <w:r>
        <w:t>[1, 2, 54-58].</w:t>
      </w:r>
    </w:p>
    <w:p w14:paraId="47010000">
      <w:pPr>
        <w:pStyle w:val="Style_23"/>
      </w:pPr>
      <w:r>
        <w:t xml:space="preserve">Уровень убедительности </w:t>
      </w:r>
      <w:r>
        <w:t>A</w:t>
      </w:r>
      <w:r>
        <w:t xml:space="preserve"> </w:t>
      </w:r>
      <w:r>
        <w:t xml:space="preserve">(уровень достоверности доказательств – 1) </w:t>
      </w:r>
    </w:p>
    <w:p w14:paraId="48010000">
      <w:pPr>
        <w:pStyle w:val="Style_22"/>
        <w:widowControl w:val="1"/>
        <w:ind w:firstLine="709" w:left="0"/>
        <w:rPr>
          <w:sz w:val="28"/>
        </w:rPr>
      </w:pPr>
      <w:r>
        <w:rPr>
          <w:b w:val="1"/>
        </w:rPr>
        <w:t>Комментарии:</w:t>
      </w:r>
      <w:r>
        <w:t xml:space="preserve"> Метод ЭОД</w:t>
      </w:r>
      <w:r>
        <w:t xml:space="preserve"> </w:t>
      </w:r>
      <w:r>
        <w:t>широко используется в</w:t>
      </w:r>
      <w:r>
        <w:t xml:space="preserve"> диагностике </w:t>
      </w:r>
      <w:r>
        <w:t>КЗ</w:t>
      </w:r>
      <w:r>
        <w:t xml:space="preserve">, т.к. сила и продолжительность </w:t>
      </w:r>
      <w:r>
        <w:t xml:space="preserve">тока </w:t>
      </w:r>
      <w:r>
        <w:t>легко дозиру</w:t>
      </w:r>
      <w:r>
        <w:t>ю</w:t>
      </w:r>
      <w:r>
        <w:t xml:space="preserve">тся, а </w:t>
      </w:r>
      <w:r>
        <w:t xml:space="preserve">многократное ЭОД-тестирование не оказывает повреждающего действия на ткани ПР и организма в целом. Метод ЭОД обеспечивает более точную диагностику, чем другие методы инструментального исследования. </w:t>
      </w:r>
      <w:r>
        <w:t>В норме</w:t>
      </w:r>
      <w:r>
        <w:t>, при кариесе эмали и среднем кариесе</w:t>
      </w:r>
      <w:r>
        <w:t xml:space="preserve"> показатели порогового возбуждения пульпы составля</w:t>
      </w:r>
      <w:r>
        <w:t>ю</w:t>
      </w:r>
      <w:r>
        <w:t>т 2-6 мкА</w:t>
      </w:r>
      <w:r>
        <w:t>, при глубоком кариесе – 10-12 мкА (редко – до 20 мкА)</w:t>
      </w:r>
      <w:r>
        <w:t>.</w:t>
      </w:r>
      <w:r>
        <w:t xml:space="preserve"> Показатели ЭОД более 20 мкА свидетельствуют о развитии острого пульпита и необходимости эндодонтического лечения.</w:t>
      </w:r>
    </w:p>
    <w:p w14:paraId="49010000">
      <w:pPr>
        <w:pStyle w:val="Style_21"/>
        <w:widowControl w:val="1"/>
        <w:tabs>
          <w:tab w:leader="none" w:pos="360" w:val="clear"/>
        </w:tabs>
        <w:ind w:firstLine="0" w:left="0"/>
        <w:rPr>
          <w:i w:val="1"/>
          <w:color w:themeColor="background1" w:themeShade="80" w:val="808080"/>
          <w:sz w:val="20"/>
        </w:rPr>
      </w:pPr>
      <w:r>
        <w:t>Рекомендуется</w:t>
      </w:r>
      <w:r>
        <w:t xml:space="preserve"> проведение </w:t>
      </w:r>
      <w:r>
        <w:rPr>
          <w:b w:val="1"/>
        </w:rPr>
        <w:t>лучевой диагностики</w:t>
      </w:r>
      <w:r>
        <w:t xml:space="preserve"> с целью выявления и оценки состояния кариозных полостей, скрытых на контактных поверхностях зубов, под пломбой, искусственной коронкой и т. д. Методы лучевой диагностики используются также для определения правильности препарирования и пломбирования кариозной полости</w:t>
      </w:r>
      <w:r>
        <w:t xml:space="preserve">. </w:t>
      </w:r>
      <w:r>
        <w:t xml:space="preserve">Спектр методов лучевой диагностики включает: прицельную внутриротовую рентгенографию, радиовизиографию, ортопантомографию (ОПТГ), конусно-лучевую компьютерную </w:t>
      </w:r>
      <w:r>
        <w:t>томографию (КЛКТ)</w:t>
      </w:r>
      <w:r>
        <w:t>.</w:t>
      </w:r>
      <w:r>
        <w:t xml:space="preserve"> </w:t>
      </w:r>
      <w:r>
        <w:t>[</w:t>
      </w:r>
      <w:r>
        <w:t>1, 5, 9, 59</w:t>
      </w:r>
      <w:r>
        <w:t>-64</w:t>
      </w:r>
      <w:r>
        <w:t>]</w:t>
      </w:r>
      <w:r>
        <w:t>. Информативность последнего метода превышает диагностические возможности ОПТГ на 5,5</w:t>
      </w:r>
      <w:r>
        <w:t>±</w:t>
      </w:r>
      <w:r>
        <w:t xml:space="preserve">0,61% </w:t>
      </w:r>
      <w:r>
        <w:t>[274]</w:t>
      </w:r>
      <w:r>
        <w:t>.</w:t>
      </w:r>
    </w:p>
    <w:p w14:paraId="4A010000">
      <w:pPr>
        <w:pStyle w:val="Style_23"/>
      </w:pPr>
      <w:r>
        <w:t xml:space="preserve">Уровень убедительности A (уровень достоверности доказательств – 1) </w:t>
      </w:r>
    </w:p>
    <w:p w14:paraId="4B010000">
      <w:pPr>
        <w:pStyle w:val="Style_22"/>
        <w:widowControl w:val="1"/>
        <w:ind w:firstLine="709" w:left="0"/>
      </w:pPr>
      <w:r>
        <w:rPr>
          <w:b w:val="1"/>
        </w:rPr>
        <w:t>Комментарии:</w:t>
      </w:r>
      <w:r>
        <w:t xml:space="preserve"> </w:t>
      </w:r>
      <w:r>
        <w:t xml:space="preserve">Рентгенологическое исследование </w:t>
      </w:r>
      <w:r>
        <w:t>целесообразно проводить для оценки размеров полости зуба, соотношения кариозной полости и полости зуба,</w:t>
      </w:r>
      <w:r>
        <w:t xml:space="preserve"> наличия сообщения с полостью зуба,</w:t>
      </w:r>
      <w:r>
        <w:t xml:space="preserve"> оценки состояния формирования корней зубов, тканей перио- и пародонта. Использование рентгенографии у беременных женщин проводится строго по показаниям, в минимальном объеме</w:t>
      </w:r>
      <w:r>
        <w:t xml:space="preserve">. </w:t>
      </w:r>
      <w:r>
        <w:t>Чувствительность рентгенологического метода в заданных показателях достигает 90-100%.</w:t>
      </w:r>
    </w:p>
    <w:p w14:paraId="4C010000">
      <w:pPr>
        <w:pStyle w:val="Style_21"/>
        <w:widowControl w:val="1"/>
        <w:tabs>
          <w:tab w:leader="none" w:pos="360" w:val="clear"/>
        </w:tabs>
        <w:ind w:firstLine="567" w:left="0"/>
      </w:pPr>
      <w:r>
        <w:t xml:space="preserve">Рекомендуется </w:t>
      </w:r>
      <w:r>
        <w:t xml:space="preserve">проведение </w:t>
      </w:r>
      <w:r>
        <w:rPr>
          <w:b w:val="1"/>
        </w:rPr>
        <w:t>метода транслюминации</w:t>
      </w:r>
      <w:r>
        <w:t xml:space="preserve"> для уточнения диагноза и оценки состояния ТТЗ при наличии очагов деминерализации эмали</w:t>
      </w:r>
      <w:r>
        <w:t xml:space="preserve">, </w:t>
      </w:r>
      <w:r>
        <w:t>трещин в эмали</w:t>
      </w:r>
      <w:r>
        <w:t>,</w:t>
      </w:r>
      <w:r>
        <w:rPr>
          <w:sz w:val="28"/>
        </w:rPr>
        <w:t xml:space="preserve"> </w:t>
      </w:r>
      <w:r>
        <w:t xml:space="preserve">контроля качества подготовки </w:t>
      </w:r>
      <w:r>
        <w:t>и</w:t>
      </w:r>
      <w:r>
        <w:t xml:space="preserve"> пломбировани</w:t>
      </w:r>
      <w:r>
        <w:t xml:space="preserve">я </w:t>
      </w:r>
      <w:r>
        <w:t xml:space="preserve"> </w:t>
      </w:r>
      <w:r>
        <w:t>полостей</w:t>
      </w:r>
      <w:r>
        <w:t xml:space="preserve"> </w:t>
      </w:r>
      <w:r>
        <w:t>[1, 64-67]</w:t>
      </w:r>
      <w:r>
        <w:t>.</w:t>
      </w:r>
    </w:p>
    <w:p w14:paraId="4D010000">
      <w:pPr>
        <w:pStyle w:val="Style_23"/>
      </w:pPr>
      <w:r>
        <w:t xml:space="preserve">Уровень убедительности B </w:t>
      </w:r>
      <w:r>
        <w:t xml:space="preserve">(уровень достоверности доказательств – 1) </w:t>
      </w:r>
    </w:p>
    <w:p w14:paraId="4E010000">
      <w:pPr>
        <w:pStyle w:val="Style_22"/>
        <w:widowControl w:val="1"/>
        <w:ind w:firstLine="709" w:left="0"/>
      </w:pPr>
      <w:r>
        <w:rPr>
          <w:b w:val="1"/>
        </w:rPr>
        <w:t>Комментарии:</w:t>
      </w:r>
      <w:r>
        <w:t xml:space="preserve"> Метод транслюминации безвреден для организма, востребован для оценки состояния фиссур и ранней доклинической диагностики окклюзионного кариеса. </w:t>
      </w:r>
    </w:p>
    <w:p w14:paraId="4F010000">
      <w:pPr>
        <w:pStyle w:val="Style_22"/>
        <w:widowControl w:val="1"/>
        <w:ind w:firstLine="709" w:left="0"/>
      </w:pPr>
      <w:r>
        <w:t>Метод основан на разнице светопоглощения здоровыми и пораженных кариесом ТТЗ (эмалью и дентином) при исследовании в лучах холодного пучка света.</w:t>
      </w:r>
      <w:r>
        <w:t xml:space="preserve"> </w:t>
      </w:r>
      <w:r>
        <w:t>При прохождении света через ТТЗ очаг поражения эмали имеет вид темного пятна, четко отграниченного от здоровой перифокальной эмали.  Интенсивность темного цвета нарастает по мере увеличения глубины кариозной полости; при глубоких пораженных кариесом фиссурах с низкой оптической плотностью отмечается эффект гашения свечения тканей в виде темной зоны.  Диагностические возможности метода позволяют также обнаружить конкременты в полости зуба и отложения поддесневого зубного камня.</w:t>
      </w:r>
    </w:p>
    <w:p w14:paraId="50010000">
      <w:pPr>
        <w:pStyle w:val="Style_21"/>
        <w:widowControl w:val="1"/>
        <w:tabs>
          <w:tab w:leader="none" w:pos="0" w:val="left"/>
          <w:tab w:leader="none" w:pos="360" w:val="clear"/>
        </w:tabs>
        <w:ind w:firstLine="0" w:left="0"/>
      </w:pPr>
      <w:r>
        <w:t xml:space="preserve">Рекомендуется оценить состояние </w:t>
      </w:r>
      <w:r>
        <w:t>ГРР</w:t>
      </w:r>
      <w:r>
        <w:t xml:space="preserve"> по упрощенному индексу Грина-Вермильона, планирования и подготовки к лечению </w:t>
      </w:r>
      <w:r>
        <w:t xml:space="preserve">по поводу </w:t>
      </w:r>
      <w:r>
        <w:t>КЗ</w:t>
      </w:r>
      <w:r>
        <w:t xml:space="preserve"> [1, 2, 6, 9]</w:t>
      </w:r>
      <w:r>
        <w:t xml:space="preserve">. </w:t>
      </w:r>
    </w:p>
    <w:p w14:paraId="51010000">
      <w:bookmarkStart w:id="27" w:name="__RefHeading___16"/>
      <w:bookmarkEnd w:id="27"/>
      <w:pPr>
        <w:pStyle w:val="Style_18"/>
      </w:pPr>
      <w:r>
        <w:t xml:space="preserve"> </w:t>
      </w:r>
      <w:r>
        <w:t>6.</w:t>
      </w:r>
      <w:r>
        <w:t>3. Лабораторные диагностические исследования</w:t>
      </w:r>
      <w:r>
        <w:t xml:space="preserve"> </w:t>
      </w:r>
    </w:p>
    <w:p w14:paraId="52010000">
      <w:bookmarkStart w:id="28" w:name="__RefHeading___17"/>
      <w:bookmarkEnd w:id="28"/>
      <w:pPr>
        <w:pStyle w:val="Style_18"/>
        <w:rPr>
          <w:b w:val="0"/>
          <w:u w:val="none"/>
        </w:rPr>
      </w:pPr>
      <w:r>
        <w:rPr>
          <w:u w:val="none"/>
        </w:rPr>
        <w:t>Рекомендуется у отдельных пациентов для оценки индивидуального риска возникновения КЗ</w:t>
      </w:r>
      <w:r>
        <w:rPr>
          <w:b w:val="0"/>
          <w:u w:val="none"/>
        </w:rPr>
        <w:t xml:space="preserve"> </w:t>
      </w:r>
      <w:r>
        <w:rPr>
          <w:b w:val="0"/>
          <w:u w:val="none"/>
        </w:rPr>
        <w:t>.</w:t>
      </w:r>
    </w:p>
    <w:p w14:paraId="53010000">
      <w:pPr>
        <w:pStyle w:val="Style_21"/>
      </w:pPr>
      <w:r>
        <w:t>П</w:t>
      </w:r>
      <w:r>
        <w:t>роведение тест</w:t>
      </w:r>
      <w:r>
        <w:t>ов</w:t>
      </w:r>
      <w:r>
        <w:t>, основанн</w:t>
      </w:r>
      <w:r>
        <w:t>ых</w:t>
      </w:r>
      <w:r>
        <w:t xml:space="preserve"> на определении концентрации </w:t>
      </w:r>
      <w:r>
        <w:t>Str</w:t>
      </w:r>
      <w:r>
        <w:t xml:space="preserve">. </w:t>
      </w:r>
      <w:r>
        <w:t>m</w:t>
      </w:r>
      <w:r>
        <w:t>utans</w:t>
      </w:r>
      <w:r>
        <w:t xml:space="preserve">, </w:t>
      </w:r>
      <w:r>
        <w:t>Lactobacilli</w:t>
      </w:r>
      <w:r>
        <w:t xml:space="preserve"> </w:t>
      </w:r>
      <w:r>
        <w:t>spp</w:t>
      </w:r>
      <w:r>
        <w:t>.</w:t>
      </w:r>
      <w:r>
        <w:t xml:space="preserve"> </w:t>
      </w:r>
      <w:r>
        <w:t>в</w:t>
      </w:r>
      <w:r>
        <w:t xml:space="preserve"> ротовой жидкости </w:t>
      </w:r>
      <w:r>
        <w:t>[43-51].</w:t>
      </w:r>
    </w:p>
    <w:p w14:paraId="54010000">
      <w:pPr>
        <w:pStyle w:val="Style_23"/>
      </w:pPr>
      <w:r>
        <w:t>Уровень убедительности</w:t>
      </w:r>
      <w:r>
        <w:t xml:space="preserve"> </w:t>
      </w:r>
      <w:r>
        <w:t>рекомендаций</w:t>
      </w:r>
      <w:r>
        <w:t xml:space="preserve"> </w:t>
      </w:r>
      <w:r>
        <w:t>A</w:t>
      </w:r>
      <w:r>
        <w:t xml:space="preserve"> (уровень достоверности доказательств – </w:t>
      </w:r>
      <w:r>
        <w:t>1</w:t>
      </w:r>
      <w:r>
        <w:t xml:space="preserve">) </w:t>
      </w:r>
    </w:p>
    <w:p w14:paraId="55010000">
      <w:pPr>
        <w:pStyle w:val="Style_22"/>
        <w:widowControl w:val="1"/>
        <w:ind w:left="0"/>
      </w:pPr>
      <w:r>
        <w:rPr>
          <w:b w:val="1"/>
        </w:rPr>
        <w:t>Комментарии:</w:t>
      </w:r>
      <w:r>
        <w:t xml:space="preserve"> </w:t>
      </w:r>
      <w:r>
        <w:t>К</w:t>
      </w:r>
      <w:r>
        <w:t>онцентраци</w:t>
      </w:r>
      <w:r>
        <w:t>я</w:t>
      </w:r>
      <w:r>
        <w:t xml:space="preserve"> Str</w:t>
      </w:r>
      <w:r>
        <w:t xml:space="preserve">. </w:t>
      </w:r>
      <w:r>
        <w:t xml:space="preserve">mutans в слюне </w:t>
      </w:r>
      <w:r>
        <w:t xml:space="preserve">в норме находится в диапазоне </w:t>
      </w:r>
      <w:r>
        <w:t xml:space="preserve">10000-1000000 </w:t>
      </w:r>
      <w:r>
        <w:t>КОЕ/мл</w:t>
      </w:r>
      <w:r>
        <w:t>;</w:t>
      </w:r>
      <w:r>
        <w:t xml:space="preserve"> концентрация La</w:t>
      </w:r>
      <w:r>
        <w:t>c</w:t>
      </w:r>
      <w:r>
        <w:t>toba</w:t>
      </w:r>
      <w:r>
        <w:t>cilli</w:t>
      </w:r>
      <w:r>
        <w:t xml:space="preserve"> </w:t>
      </w:r>
      <w:r>
        <w:t>spp</w:t>
      </w:r>
      <w:r>
        <w:t>.</w:t>
      </w:r>
      <w:r>
        <w:t xml:space="preserve"> не должна превышать10000 </w:t>
      </w:r>
      <w:r>
        <w:t>КОЕ</w:t>
      </w:r>
      <w:r>
        <w:t xml:space="preserve"> / мл. слюны</w:t>
      </w:r>
      <w:r>
        <w:t>.</w:t>
      </w:r>
      <w:r>
        <w:t xml:space="preserve"> </w:t>
      </w:r>
      <w:r>
        <w:t>Их б</w:t>
      </w:r>
      <w:r>
        <w:t xml:space="preserve">олее высокие значения </w:t>
      </w:r>
      <w:r>
        <w:t xml:space="preserve">указывают на высокий риск развития и прогрессирование </w:t>
      </w:r>
      <w:r>
        <w:t>КЗ</w:t>
      </w:r>
      <w:r>
        <w:t>, его активное течение</w:t>
      </w:r>
      <w:r>
        <w:t xml:space="preserve">; превышение показателей отражает высокие уровни потребления </w:t>
      </w:r>
      <w:r>
        <w:t>легко усваиваемых</w:t>
      </w:r>
      <w:r>
        <w:t xml:space="preserve"> углеводов</w:t>
      </w:r>
      <w:r>
        <w:t xml:space="preserve">. </w:t>
      </w:r>
      <w:r>
        <w:rPr>
          <w:color w:val="252A2F"/>
        </w:rPr>
        <w:t xml:space="preserve">Вероятность возникновения </w:t>
      </w:r>
      <w:r>
        <w:rPr>
          <w:color w:val="252A2F"/>
        </w:rPr>
        <w:t>КЗ</w:t>
      </w:r>
      <w:r>
        <w:rPr>
          <w:color w:val="252A2F"/>
        </w:rPr>
        <w:t xml:space="preserve"> равна нулю в случае </w:t>
      </w:r>
      <w:r>
        <w:rPr>
          <w:color w:val="252A2F"/>
        </w:rPr>
        <w:t xml:space="preserve">отрицательного результата </w:t>
      </w:r>
      <w:r>
        <w:rPr>
          <w:color w:val="252A2F"/>
        </w:rPr>
        <w:t>теста на</w:t>
      </w:r>
      <w:r>
        <w:rPr>
          <w:color w:val="252A2F"/>
        </w:rPr>
        <w:t xml:space="preserve"> St</w:t>
      </w:r>
      <w:r>
        <w:rPr>
          <w:color w:val="252A2F"/>
        </w:rPr>
        <w:t>r</w:t>
      </w:r>
      <w:r>
        <w:rPr>
          <w:color w:val="252A2F"/>
        </w:rPr>
        <w:t>.</w:t>
      </w:r>
      <w:r>
        <w:rPr>
          <w:color w:val="252A2F"/>
        </w:rPr>
        <w:t xml:space="preserve"> mutans.</w:t>
      </w:r>
      <w:r>
        <w:rPr>
          <w:color w:val="252A2F"/>
        </w:rPr>
        <w:t xml:space="preserve"> </w:t>
      </w:r>
      <w:r>
        <w:rPr>
          <w:color w:val="252A2F"/>
        </w:rPr>
        <w:t xml:space="preserve">Риск возникновения </w:t>
      </w:r>
      <w:r>
        <w:rPr>
          <w:color w:val="252A2F"/>
        </w:rPr>
        <w:t>КЗ</w:t>
      </w:r>
      <w:r>
        <w:rPr>
          <w:color w:val="252A2F"/>
        </w:rPr>
        <w:t xml:space="preserve"> значительно возрастает </w:t>
      </w:r>
      <w:r>
        <w:rPr>
          <w:color w:val="252A2F"/>
        </w:rPr>
        <w:t>при концентрации</w:t>
      </w:r>
      <w:r>
        <w:rPr>
          <w:color w:val="252A2F"/>
        </w:rPr>
        <w:t xml:space="preserve"> St</w:t>
      </w:r>
      <w:r>
        <w:rPr>
          <w:color w:val="252A2F"/>
        </w:rPr>
        <w:t>r</w:t>
      </w:r>
      <w:r>
        <w:rPr>
          <w:color w:val="252A2F"/>
        </w:rPr>
        <w:t>.</w:t>
      </w:r>
      <w:r>
        <w:rPr>
          <w:color w:val="252A2F"/>
        </w:rPr>
        <w:t xml:space="preserve"> mutans более 500000 КОЕ/мл</w:t>
      </w:r>
      <w:r>
        <w:rPr>
          <w:color w:val="252A2F"/>
        </w:rPr>
        <w:t xml:space="preserve">. </w:t>
      </w:r>
      <w:r>
        <w:t>Количество колоний, превышающее 10000 КОЕ/мл, считается высоким,</w:t>
      </w:r>
      <w:r>
        <w:t xml:space="preserve"> отмечается у пациентов со сниженной секрецией и буферной емкостью слюны, </w:t>
      </w:r>
      <w:r>
        <w:t xml:space="preserve">при </w:t>
      </w:r>
      <w:r>
        <w:t>наличи</w:t>
      </w:r>
      <w:r>
        <w:t>и</w:t>
      </w:r>
      <w:r>
        <w:t xml:space="preserve"> в ней высокого уровня глюкозы. Вероятность риска возникновения </w:t>
      </w:r>
      <w:r>
        <w:t xml:space="preserve">КЗ </w:t>
      </w:r>
      <w:r>
        <w:t xml:space="preserve">равна нулю при концентрации </w:t>
      </w:r>
      <w:r>
        <w:t>Lactobacilli</w:t>
      </w:r>
      <w:r>
        <w:t xml:space="preserve"> </w:t>
      </w:r>
      <w:r>
        <w:t>spp</w:t>
      </w:r>
      <w:r>
        <w:t>.</w:t>
      </w:r>
      <w:r>
        <w:t xml:space="preserve"> менее 1000КОЕ/м</w:t>
      </w:r>
      <w:r>
        <w:t>л.</w:t>
      </w:r>
    </w:p>
    <w:p w14:paraId="56010000">
      <w:pPr>
        <w:pStyle w:val="Style_22"/>
        <w:widowControl w:val="1"/>
        <w:ind w:left="0"/>
        <w:rPr>
          <w:color w:val="252A2F"/>
        </w:rPr>
      </w:pPr>
      <w:r>
        <w:t>Чувствительность метода –</w:t>
      </w:r>
      <w:r>
        <w:rPr>
          <w:color w:val="252A2F"/>
        </w:rPr>
        <w:t xml:space="preserve"> 80-95%</w:t>
      </w:r>
      <w:r>
        <w:rPr>
          <w:color w:val="252A2F"/>
        </w:rPr>
        <w:t xml:space="preserve"> </w:t>
      </w:r>
      <w:r>
        <w:rPr>
          <w:color w:val="252A2F"/>
        </w:rPr>
        <w:t>[50, 51]</w:t>
      </w:r>
      <w:r>
        <w:rPr>
          <w:color w:val="252A2F"/>
        </w:rPr>
        <w:t>.</w:t>
      </w:r>
    </w:p>
    <w:p w14:paraId="57010000">
      <w:pPr>
        <w:pStyle w:val="Style_21"/>
        <w:widowControl w:val="1"/>
        <w:tabs>
          <w:tab w:leader="none" w:pos="0" w:val="left"/>
          <w:tab w:leader="none" w:pos="360" w:val="clear"/>
        </w:tabs>
        <w:ind w:firstLine="0" w:left="0"/>
        <w:rPr>
          <w:color w:val="7030A0"/>
          <w:sz w:val="28"/>
        </w:rPr>
      </w:pPr>
      <w:r>
        <w:t xml:space="preserve">Рекомендуется </w:t>
      </w:r>
      <w:r>
        <w:t xml:space="preserve"> </w:t>
      </w:r>
      <w:r>
        <w:t>определ</w:t>
      </w:r>
      <w:r>
        <w:t>я</w:t>
      </w:r>
      <w:r>
        <w:t>ть вязкость</w:t>
      </w:r>
      <w:r>
        <w:t xml:space="preserve"> ротовой жидкости / смешанной</w:t>
      </w:r>
      <w:r>
        <w:t xml:space="preserve"> слюны</w:t>
      </w:r>
      <w:r>
        <w:t xml:space="preserve"> вискозиметрическим методом соотнос</w:t>
      </w:r>
      <w:r>
        <w:t>я полученные данные</w:t>
      </w:r>
      <w:r>
        <w:t xml:space="preserve"> с аналогичным показателем дистиллированной воды</w:t>
      </w:r>
      <w:r>
        <w:t xml:space="preserve"> [1, 33, 43]</w:t>
      </w:r>
      <w:r>
        <w:t>.</w:t>
      </w:r>
    </w:p>
    <w:p w14:paraId="58010000">
      <w:pPr>
        <w:pStyle w:val="Style_23"/>
      </w:pPr>
      <w:r>
        <w:t xml:space="preserve">Уровень убедительности рекомендаций B (уровень достоверности доказательств – 2) </w:t>
      </w:r>
    </w:p>
    <w:p w14:paraId="59010000">
      <w:pPr>
        <w:pStyle w:val="Style_22"/>
        <w:widowControl w:val="1"/>
        <w:ind w:firstLine="709" w:left="0"/>
      </w:pPr>
      <w:r>
        <w:rPr>
          <w:b w:val="1"/>
        </w:rPr>
        <w:t>Комментарии:</w:t>
      </w:r>
      <w:r>
        <w:t xml:space="preserve"> Показатель вязкости слюны, превышающий 1,45 указывает на неблагоприятный прогноз развития </w:t>
      </w:r>
      <w:r>
        <w:t>КЗ</w:t>
      </w:r>
      <w:r>
        <w:t>.</w:t>
      </w:r>
    </w:p>
    <w:p w14:paraId="5A010000">
      <w:pPr>
        <w:pStyle w:val="Style_22"/>
        <w:widowControl w:val="1"/>
        <w:ind w:firstLine="709" w:left="0"/>
      </w:pPr>
      <w:r>
        <w:t xml:space="preserve">Рекомендуется </w:t>
      </w:r>
      <w:r>
        <w:t xml:space="preserve"> </w:t>
      </w:r>
      <w:r>
        <w:t>определ</w:t>
      </w:r>
      <w:r>
        <w:t>я</w:t>
      </w:r>
      <w:r>
        <w:t xml:space="preserve">ть рН </w:t>
      </w:r>
      <w:r>
        <w:t xml:space="preserve">стимулированной </w:t>
      </w:r>
      <w:r>
        <w:t>слюны</w:t>
      </w:r>
      <w:r>
        <w:t xml:space="preserve"> с помощью бумажных полосок</w:t>
      </w:r>
      <w:r>
        <w:t xml:space="preserve"> [1, 33, 43, 52</w:t>
      </w:r>
      <w:r>
        <w:t>, 53</w:t>
      </w:r>
      <w:r>
        <w:t>]</w:t>
      </w:r>
      <w:r>
        <w:t xml:space="preserve">. </w:t>
      </w:r>
    </w:p>
    <w:p w14:paraId="5B010000">
      <w:pPr>
        <w:pStyle w:val="Style_23"/>
      </w:pPr>
      <w:r>
        <w:t xml:space="preserve">Уровень убедительности рекомендаций B (уровень достоверности доказательств – 2) </w:t>
      </w:r>
    </w:p>
    <w:p w14:paraId="5C010000">
      <w:pPr>
        <w:pStyle w:val="Style_22"/>
        <w:widowControl w:val="1"/>
        <w:ind w:firstLine="709" w:left="0"/>
      </w:pPr>
      <w:r>
        <w:rPr>
          <w:b w:val="1"/>
        </w:rPr>
        <w:t>Комментарии:</w:t>
      </w:r>
      <w:r>
        <w:t xml:space="preserve"> </w:t>
      </w:r>
      <w:r>
        <w:t xml:space="preserve">В норме рН стимулированной слюны </w:t>
      </w:r>
      <w:r>
        <w:t xml:space="preserve">составляет </w:t>
      </w:r>
      <w:r>
        <w:t>7,0 и выше</w:t>
      </w:r>
      <w:r>
        <w:t>;</w:t>
      </w:r>
      <w:r>
        <w:t xml:space="preserve"> рН 6,5-6,9 </w:t>
      </w:r>
      <w:r>
        <w:t>указывает на</w:t>
      </w:r>
      <w:r>
        <w:t xml:space="preserve"> умеренный риск </w:t>
      </w:r>
      <w:r>
        <w:t>развития</w:t>
      </w:r>
      <w:r>
        <w:t xml:space="preserve"> </w:t>
      </w:r>
      <w:r>
        <w:t>КЗ</w:t>
      </w:r>
      <w:r>
        <w:t>,</w:t>
      </w:r>
      <w:r>
        <w:t xml:space="preserve"> 6,0-6,5 </w:t>
      </w:r>
      <w:r>
        <w:t>–</w:t>
      </w:r>
      <w:r>
        <w:t xml:space="preserve"> </w:t>
      </w:r>
      <w:r>
        <w:t xml:space="preserve">на </w:t>
      </w:r>
      <w:r>
        <w:t xml:space="preserve">высокий риск </w:t>
      </w:r>
      <w:r>
        <w:t>КЗ</w:t>
      </w:r>
      <w:r>
        <w:t xml:space="preserve">; </w:t>
      </w:r>
      <w:r>
        <w:t xml:space="preserve">а </w:t>
      </w:r>
      <w:r>
        <w:t xml:space="preserve">рН &lt; 6,0 </w:t>
      </w:r>
      <w:r>
        <w:t>–</w:t>
      </w:r>
      <w:r>
        <w:t xml:space="preserve"> </w:t>
      </w:r>
      <w:r>
        <w:t xml:space="preserve">на </w:t>
      </w:r>
      <w:r>
        <w:t>очень высокий риск</w:t>
      </w:r>
      <w:r>
        <w:t xml:space="preserve"> развития</w:t>
      </w:r>
      <w:r>
        <w:t xml:space="preserve"> </w:t>
      </w:r>
      <w:r>
        <w:t>КЗ</w:t>
      </w:r>
      <w:r>
        <w:t>.</w:t>
      </w:r>
      <w:r>
        <w:t xml:space="preserve"> Чувствительность метода – 90-100%, специфичность метода – 55-72%.</w:t>
      </w:r>
    </w:p>
    <w:p w14:paraId="5D010000">
      <w:bookmarkStart w:id="29" w:name="__RefHeading___18"/>
      <w:bookmarkEnd w:id="29"/>
      <w:pPr>
        <w:pStyle w:val="Style_18"/>
      </w:pPr>
      <w:r>
        <w:t>5</w:t>
      </w:r>
      <w:r>
        <w:t>.</w:t>
      </w:r>
      <w:r>
        <w:t xml:space="preserve"> Иная диагностика</w:t>
      </w:r>
    </w:p>
    <w:p w14:paraId="5E010000">
      <w:pPr>
        <w:pStyle w:val="Style_21"/>
        <w:rPr>
          <w:b w:val="1"/>
        </w:rPr>
      </w:pPr>
      <w:bookmarkStart w:id="30" w:name="__RefHeading___doc_3"/>
      <w:r>
        <w:t xml:space="preserve">Рекомендуется </w:t>
      </w:r>
      <w:r>
        <w:t>определение индекса разрушения окклюзионной поверхности зуба (ИРОПЗ</w:t>
      </w:r>
      <w:r>
        <w:t>)  д</w:t>
      </w:r>
      <w:r>
        <w:t>ля оценки степени</w:t>
      </w:r>
      <w:r>
        <w:t xml:space="preserve"> </w:t>
      </w:r>
      <w:r>
        <w:t>разрушения коронковой части зуба</w:t>
      </w:r>
      <w:r>
        <w:t xml:space="preserve"> вследствие кариеса, а </w:t>
      </w:r>
      <w:r>
        <w:t>также утраты</w:t>
      </w:r>
      <w:r>
        <w:t xml:space="preserve"> </w:t>
      </w:r>
      <w:r>
        <w:t xml:space="preserve">ее объема </w:t>
      </w:r>
      <w:r>
        <w:t xml:space="preserve">после </w:t>
      </w:r>
      <w:r>
        <w:t xml:space="preserve">проведенного </w:t>
      </w:r>
      <w:r>
        <w:t>препарирования</w:t>
      </w:r>
      <w:r>
        <w:t xml:space="preserve"> кариозной полости</w:t>
      </w:r>
      <w:r>
        <w:t xml:space="preserve"> </w:t>
      </w:r>
      <w:r>
        <w:t>[1, 2</w:t>
      </w:r>
      <w:r>
        <w:t>, 6, 72-74</w:t>
      </w:r>
      <w:r>
        <w:t>]</w:t>
      </w:r>
      <w:r>
        <w:t>.</w:t>
      </w:r>
    </w:p>
    <w:p w14:paraId="5F010000">
      <w:pPr>
        <w:pStyle w:val="Style_23"/>
      </w:pPr>
      <w:r>
        <w:t xml:space="preserve">Уровень убедительности B (уровень достоверности доказательств – 2) </w:t>
      </w:r>
    </w:p>
    <w:p w14:paraId="60010000">
      <w:pPr>
        <w:pStyle w:val="Style_22"/>
        <w:widowControl w:val="1"/>
        <w:ind w:firstLine="709" w:left="0"/>
      </w:pPr>
      <w:r>
        <w:rPr>
          <w:b w:val="1"/>
        </w:rPr>
        <w:t>Комментарии:</w:t>
      </w:r>
      <w:r>
        <w:t xml:space="preserve"> Индекс </w:t>
      </w:r>
      <w:r>
        <w:t>ИРОПЗ используют для выбора метода восстановления анатомической формы коронковой части зуба</w:t>
      </w:r>
      <w:r>
        <w:t xml:space="preserve"> (</w:t>
      </w:r>
      <w:r>
        <w:t>пломбой, вин</w:t>
      </w:r>
      <w:r>
        <w:t>и</w:t>
      </w:r>
      <w:r>
        <w:t>ром, вкладкой, полукоронкой</w:t>
      </w:r>
      <w:r>
        <w:t>,</w:t>
      </w:r>
      <w:r>
        <w:t xml:space="preserve"> коронкой</w:t>
      </w:r>
      <w:r>
        <w:t>, штифтовыми конструкциями).</w:t>
      </w:r>
    </w:p>
    <w:p w14:paraId="61010000">
      <w:pPr>
        <w:pStyle w:val="Style_22"/>
        <w:widowControl w:val="1"/>
        <w:ind w:firstLine="709" w:left="0"/>
      </w:pPr>
      <w:r>
        <w:rPr>
          <w:b w:val="1"/>
          <w:i w:val="0"/>
        </w:rPr>
        <w:t>Витальное окрашивание твердых тканей зуба</w:t>
      </w:r>
      <w:r>
        <w:t xml:space="preserve">. </w:t>
      </w:r>
      <w:r>
        <w:rPr>
          <w:i w:val="0"/>
        </w:rPr>
        <w:t>Окрашивание рекомендуется использовать с целью: дифференциальной диагностики кариеса и некариозных поражений; мотивации пациента к проведению лечебно-профилактических процедур; определения эффективности проведенной реминерализующей терапии</w:t>
      </w:r>
      <w:r>
        <w:rPr>
          <w:i w:val="0"/>
        </w:rPr>
        <w:t>.</w:t>
      </w:r>
    </w:p>
    <w:p w14:paraId="62010000">
      <w:pPr>
        <w:pStyle w:val="Style_22"/>
        <w:rPr>
          <w:b w:val="1"/>
          <w:i w:val="0"/>
        </w:rPr>
      </w:pPr>
      <w:r>
        <w:rPr>
          <w:b w:val="1"/>
          <w:i w:val="0"/>
        </w:rPr>
        <w:t>Уровень убедительности B (уровень достоверности доказательств – 2)</w:t>
      </w:r>
    </w:p>
    <w:p w14:paraId="63010000">
      <w:pPr>
        <w:pStyle w:val="Style_21"/>
      </w:pPr>
      <w:r>
        <w:t xml:space="preserve">Рекомендуется проведение люминесцентной диагностики с целью уточнения диагноза кариеса эмали и проведения дифференциальной диагностики с некариозными поражениями зубов [1, 9, 64, 68-70]. </w:t>
      </w:r>
    </w:p>
    <w:p w14:paraId="64010000">
      <w:pPr>
        <w:pStyle w:val="Style_23"/>
      </w:pPr>
      <w:r>
        <w:t xml:space="preserve">Уровень убедительности B (уровень достоверности доказательств – 1) </w:t>
      </w:r>
    </w:p>
    <w:p w14:paraId="65010000">
      <w:pPr>
        <w:pStyle w:val="Style_22"/>
        <w:widowControl w:val="1"/>
        <w:ind w:firstLine="709" w:left="0"/>
      </w:pPr>
      <w:r>
        <w:rPr>
          <w:b w:val="1"/>
        </w:rPr>
        <w:t>Комментарии:</w:t>
      </w:r>
      <w:r>
        <w:t xml:space="preserve"> Метод люминесцентной диагностики основан на анализе интенсивности свечения здоровых и пораженных ТТЗ под действием ультрафиолетового излучения. Эмаль здоровых зубов люминесцирует оттенками снежно-белого цвета, участки гипоплазии – свето-зелеными оттенками, в пигментированных пятнах наблюдается феномен гашения люминесценции.</w:t>
      </w:r>
    </w:p>
    <w:p w14:paraId="66010000">
      <w:pPr>
        <w:pStyle w:val="Style_21"/>
        <w:widowControl w:val="1"/>
        <w:tabs>
          <w:tab w:leader="none" w:pos="0" w:val="left"/>
          <w:tab w:leader="none" w:pos="360" w:val="clear"/>
        </w:tabs>
        <w:ind/>
        <w:rPr>
          <w:b w:val="1"/>
        </w:rPr>
      </w:pPr>
      <w:r>
        <w:t>Рекомендуется</w:t>
      </w:r>
      <w:r>
        <w:t xml:space="preserve"> для объективной оценки наличия и степени распространенности зубного налета и зубного камня, в т.ч. в динамике проводимого лечения, </w:t>
      </w:r>
      <w:r>
        <w:t xml:space="preserve">определение индексов </w:t>
      </w:r>
      <w:r>
        <w:t>ГПР</w:t>
      </w:r>
      <w:r>
        <w:t xml:space="preserve"> (Грина-Вермильона и др.)</w:t>
      </w:r>
      <w:r>
        <w:t>.</w:t>
      </w:r>
      <w:r>
        <w:t xml:space="preserve"> </w:t>
      </w:r>
      <w:r>
        <w:t>С помощью гигиенических индексов можно объективно оценить</w:t>
      </w:r>
      <w:r>
        <w:t xml:space="preserve"> уровень гигиенических навыков пациента и его приверженность к поддержанию необходимо высокого уровня </w:t>
      </w:r>
      <w:r>
        <w:t>ГПР</w:t>
      </w:r>
      <w:r>
        <w:t>, а также продемонстрировать это пациенту наглядно.</w:t>
      </w:r>
      <w:r>
        <w:t xml:space="preserve"> Индекс </w:t>
      </w:r>
      <w:r>
        <w:t>ГПР</w:t>
      </w:r>
      <w:r>
        <w:t xml:space="preserve"> можно использовать для обучения пациента навыкам гигиенического ухода за </w:t>
      </w:r>
      <w:r>
        <w:t>ПР</w:t>
      </w:r>
      <w:r>
        <w:t xml:space="preserve"> [1-3, 71]</w:t>
      </w:r>
      <w:r>
        <w:t>.</w:t>
      </w:r>
      <w:r>
        <w:rPr>
          <w:b w:val="1"/>
        </w:rPr>
        <w:t xml:space="preserve"> </w:t>
      </w:r>
    </w:p>
    <w:p w14:paraId="67010000">
      <w:pPr>
        <w:pStyle w:val="Style_23"/>
      </w:pPr>
      <w:r>
        <w:t xml:space="preserve">Уровень убедительности </w:t>
      </w:r>
      <w:r>
        <w:t>A</w:t>
      </w:r>
      <w:r>
        <w:t xml:space="preserve"> </w:t>
      </w:r>
      <w:r>
        <w:t xml:space="preserve">(уровень достоверности доказательств – </w:t>
      </w:r>
      <w:r>
        <w:t>1</w:t>
      </w:r>
      <w:r>
        <w:t xml:space="preserve">) </w:t>
      </w:r>
    </w:p>
    <w:p w14:paraId="68010000">
      <w:pPr>
        <w:pStyle w:val="Style_21"/>
      </w:pPr>
      <w:r>
        <w:t>Рекомендуется у пациентов с КЗ, в случае затруднений в оценке распространенности / глубины кариозного процесса и</w:t>
      </w:r>
      <w:r>
        <w:t>ли в определении</w:t>
      </w:r>
      <w:r>
        <w:t xml:space="preserve"> показаний к оперативному лечению, проведение</w:t>
      </w:r>
      <w:r>
        <w:t xml:space="preserve"> «пробного» </w:t>
      </w:r>
      <w:r>
        <w:t xml:space="preserve">лечебно-диагностического препарирования </w:t>
      </w:r>
      <w:r>
        <w:t xml:space="preserve">для дифференуиальной диагностики «бессимптомного» кариеса и хронического </w:t>
      </w:r>
      <w:r>
        <w:t>периодонтита</w:t>
      </w:r>
      <w:r>
        <w:t>[</w:t>
      </w:r>
      <w:r>
        <w:t>275</w:t>
      </w:r>
      <w:r>
        <w:t>]</w:t>
      </w:r>
      <w:r>
        <w:t>.</w:t>
      </w:r>
    </w:p>
    <w:p w14:paraId="69010000">
      <w:pPr>
        <w:pStyle w:val="Style_23"/>
      </w:pPr>
      <w:r>
        <w:t xml:space="preserve">Уровень убедительности B (уровень достоверности доказательств – 2) </w:t>
      </w:r>
    </w:p>
    <w:p w14:paraId="6A010000">
      <w:pPr>
        <w:pStyle w:val="Style_24"/>
      </w:pPr>
      <w:r>
        <w:t xml:space="preserve">Необходимо </w:t>
      </w:r>
      <w:r>
        <w:t>получ</w:t>
      </w:r>
      <w:r>
        <w:t xml:space="preserve">ить </w:t>
      </w:r>
      <w:r>
        <w:t>информированн</w:t>
      </w:r>
      <w:r>
        <w:t>ое</w:t>
      </w:r>
      <w:r>
        <w:t xml:space="preserve"> согласи</w:t>
      </w:r>
      <w:r>
        <w:t>е</w:t>
      </w:r>
      <w:r>
        <w:t xml:space="preserve"> на обследование и лечение у врача-стоматолога</w:t>
      </w:r>
      <w:r>
        <w:t xml:space="preserve"> (</w:t>
      </w:r>
      <w:r>
        <w:rPr>
          <w:i w:val="1"/>
          <w:color w:themeColor="accent5" w:val="4472C4"/>
        </w:rPr>
        <w:t>Приложение Г3</w:t>
      </w:r>
      <w:r>
        <w:t>)</w:t>
      </w:r>
      <w:r>
        <w:t xml:space="preserve">. </w:t>
      </w:r>
      <w:r>
        <w:t>[</w:t>
      </w:r>
      <w:r>
        <w:t>81-85</w:t>
      </w:r>
      <w:r>
        <w:t>].</w:t>
      </w:r>
    </w:p>
    <w:p w14:paraId="6B010000">
      <w:pPr>
        <w:pStyle w:val="Style_23"/>
      </w:pPr>
      <w:r>
        <w:t xml:space="preserve">Уровень убедительности рекомендаций </w:t>
      </w:r>
      <w:r>
        <w:t>B</w:t>
      </w:r>
      <w:r>
        <w:t xml:space="preserve"> (уровень достоверности доказательств – </w:t>
      </w:r>
      <w:r>
        <w:t>2</w:t>
      </w:r>
      <w:r>
        <w:t>)</w:t>
      </w:r>
    </w:p>
    <w:p w14:paraId="6C010000">
      <w:pPr>
        <w:pStyle w:val="Style_23"/>
      </w:pPr>
    </w:p>
    <w:p w14:paraId="6D010000">
      <w:bookmarkStart w:id="31" w:name="__RefHeading___19"/>
      <w:bookmarkEnd w:id="31"/>
      <w:pPr>
        <w:pStyle w:val="Style_8"/>
      </w:pPr>
      <w:r>
        <w:t>VII</w:t>
      </w:r>
      <w:r>
        <w:t xml:space="preserve">. </w:t>
      </w:r>
      <w:r>
        <w:t>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bookmarkEnd w:id="30"/>
    </w:p>
    <w:p w14:paraId="6E010000">
      <w:bookmarkStart w:id="32" w:name="__RefHeading___20"/>
      <w:bookmarkEnd w:id="32"/>
      <w:pPr>
        <w:pStyle w:val="Style_18"/>
      </w:pPr>
      <w:bookmarkStart w:id="33" w:name="__RefHeading___doc_4"/>
      <w:r>
        <w:t>7.</w:t>
      </w:r>
      <w:r>
        <w:t>1. Общие подходы к лечению кариеса</w:t>
      </w:r>
      <w:r>
        <w:t xml:space="preserve"> зубов</w:t>
      </w:r>
    </w:p>
    <w:p w14:paraId="6F010000">
      <w:pPr>
        <w:pStyle w:val="Style_17"/>
      </w:pPr>
      <w:r>
        <w:t>Ле</w:t>
      </w:r>
      <w:r>
        <w:t xml:space="preserve">чение </w:t>
      </w:r>
      <w:r>
        <w:t>КЗ</w:t>
      </w:r>
      <w:r>
        <w:t xml:space="preserve"> реализуется врачом-стоматологом</w:t>
      </w:r>
      <w:r>
        <w:t xml:space="preserve"> (врачом-стоматологом общей практики, терапевтом-стоматологом</w:t>
      </w:r>
      <w:r>
        <w:t xml:space="preserve">, </w:t>
      </w:r>
      <w:r>
        <w:t>по</w:t>
      </w:r>
      <w:r>
        <w:t xml:space="preserve"> </w:t>
      </w:r>
      <w:r>
        <w:t xml:space="preserve">показаниям </w:t>
      </w:r>
      <w:r>
        <w:t>–</w:t>
      </w:r>
      <w:r>
        <w:t xml:space="preserve"> с участием врача ортопеда-стоматолога</w:t>
      </w:r>
      <w:r>
        <w:t>)</w:t>
      </w:r>
      <w:r>
        <w:t xml:space="preserve"> в рамках основных профессиональных компетенций</w:t>
      </w:r>
      <w:r>
        <w:t xml:space="preserve">, проводится </w:t>
      </w:r>
      <w:r>
        <w:t xml:space="preserve">преимущественно </w:t>
      </w:r>
      <w:r>
        <w:t>в амбулаторно-поликлинических условиях,</w:t>
      </w:r>
      <w:r>
        <w:t xml:space="preserve"> строится на принципах комплексного персонифицированного подхода.</w:t>
      </w:r>
    </w:p>
    <w:p w14:paraId="70010000">
      <w:pPr>
        <w:pStyle w:val="Style_17"/>
        <w:rPr>
          <w:i w:val="1"/>
        </w:rPr>
      </w:pPr>
      <w:r>
        <w:rPr>
          <w:i w:val="1"/>
        </w:rPr>
        <w:t>Основные направления и п</w:t>
      </w:r>
      <w:r>
        <w:rPr>
          <w:i w:val="1"/>
        </w:rPr>
        <w:t>ринципы лечения:</w:t>
      </w:r>
    </w:p>
    <w:p w14:paraId="71010000">
      <w:pPr>
        <w:pStyle w:val="Style_17"/>
        <w:widowControl w:val="1"/>
        <w:numPr>
          <w:ilvl w:val="0"/>
          <w:numId w:val="5"/>
        </w:numPr>
        <w:ind w:firstLine="0" w:left="0"/>
      </w:pPr>
      <w:r>
        <w:t>у</w:t>
      </w:r>
      <w:r>
        <w:t xml:space="preserve">странение </w:t>
      </w:r>
      <w:r>
        <w:t xml:space="preserve">основных </w:t>
      </w:r>
      <w:r>
        <w:t>факторов</w:t>
      </w:r>
      <w:r>
        <w:t xml:space="preserve"> кариесогенного риска</w:t>
      </w:r>
      <w:r>
        <w:t>;</w:t>
      </w:r>
      <w:r>
        <w:t xml:space="preserve"> предупреждение дальнейшего развития / прогрессирования патологического кариозного процесса; профилактика осложнений</w:t>
      </w:r>
      <w:r>
        <w:t>;</w:t>
      </w:r>
    </w:p>
    <w:p w14:paraId="72010000">
      <w:pPr>
        <w:pStyle w:val="Style_17"/>
        <w:widowControl w:val="1"/>
        <w:numPr>
          <w:ilvl w:val="0"/>
          <w:numId w:val="5"/>
        </w:numPr>
        <w:ind w:firstLine="0" w:left="0"/>
      </w:pPr>
      <w:r>
        <w:t>о</w:t>
      </w:r>
      <w:r>
        <w:t xml:space="preserve">боснованный выбор и индивидуализированный подбор стоматологических материалов для консервативного и оперативно-восстановительного лечения </w:t>
      </w:r>
      <w:r>
        <w:t>КЗ</w:t>
      </w:r>
      <w:r>
        <w:t>;</w:t>
      </w:r>
    </w:p>
    <w:p w14:paraId="73010000">
      <w:pPr>
        <w:pStyle w:val="Style_17"/>
        <w:widowControl w:val="1"/>
        <w:numPr>
          <w:ilvl w:val="0"/>
          <w:numId w:val="5"/>
        </w:numPr>
        <w:ind w:firstLine="0" w:left="0"/>
      </w:pPr>
      <w:r>
        <w:t>к</w:t>
      </w:r>
      <w:r>
        <w:t>онтроль болевого симптома на этапах лечения</w:t>
      </w:r>
      <w:r>
        <w:t>;</w:t>
      </w:r>
    </w:p>
    <w:p w14:paraId="74010000">
      <w:pPr>
        <w:pStyle w:val="Style_17"/>
        <w:widowControl w:val="1"/>
        <w:numPr>
          <w:ilvl w:val="0"/>
          <w:numId w:val="5"/>
        </w:numPr>
        <w:ind w:firstLine="0" w:left="0"/>
      </w:pPr>
      <w:r>
        <w:t>п</w:t>
      </w:r>
      <w:r>
        <w:t>риоритетное использование максимально атравматичных минимально-инвазивных методов / методик лечения</w:t>
      </w:r>
      <w:r>
        <w:t>;</w:t>
      </w:r>
    </w:p>
    <w:p w14:paraId="75010000">
      <w:pPr>
        <w:pStyle w:val="Style_17"/>
        <w:widowControl w:val="1"/>
        <w:numPr>
          <w:ilvl w:val="0"/>
          <w:numId w:val="5"/>
        </w:numPr>
        <w:ind w:firstLine="0" w:left="0"/>
      </w:pPr>
      <w:r>
        <w:t>с</w:t>
      </w:r>
      <w:r>
        <w:t xml:space="preserve">охранение </w:t>
      </w:r>
      <w:r>
        <w:t>/</w:t>
      </w:r>
      <w:r>
        <w:t xml:space="preserve"> восстановление анатомической формы</w:t>
      </w:r>
      <w:r>
        <w:t xml:space="preserve"> зуба,</w:t>
      </w:r>
      <w:r>
        <w:t xml:space="preserve"> пораженного кариесом</w:t>
      </w:r>
      <w:r>
        <w:t>;</w:t>
      </w:r>
    </w:p>
    <w:p w14:paraId="76010000">
      <w:pPr>
        <w:pStyle w:val="Style_17"/>
        <w:widowControl w:val="1"/>
        <w:numPr>
          <w:ilvl w:val="0"/>
          <w:numId w:val="5"/>
        </w:numPr>
        <w:ind w:firstLine="0" w:left="0"/>
      </w:pPr>
      <w:r>
        <w:t>с</w:t>
      </w:r>
      <w:r>
        <w:t>охранение эстетических параметров зуба / д</w:t>
      </w:r>
      <w:r>
        <w:t>остижение</w:t>
      </w:r>
      <w:r>
        <w:t xml:space="preserve"> эстетического эффекта</w:t>
      </w:r>
      <w:r>
        <w:t xml:space="preserve"> лечения</w:t>
      </w:r>
      <w:r>
        <w:t>;</w:t>
      </w:r>
    </w:p>
    <w:p w14:paraId="77010000">
      <w:pPr>
        <w:pStyle w:val="Style_17"/>
        <w:widowControl w:val="1"/>
        <w:numPr>
          <w:ilvl w:val="0"/>
          <w:numId w:val="5"/>
        </w:numPr>
        <w:ind w:firstLine="0" w:left="0"/>
      </w:pPr>
      <w:r>
        <w:t>п</w:t>
      </w:r>
      <w:r>
        <w:t xml:space="preserve">овышение качества жизни </w:t>
      </w:r>
      <w:r>
        <w:t xml:space="preserve">стоматологического </w:t>
      </w:r>
      <w:r>
        <w:t>пациент</w:t>
      </w:r>
      <w:r>
        <w:t>а</w:t>
      </w:r>
      <w:r>
        <w:t>;</w:t>
      </w:r>
    </w:p>
    <w:p w14:paraId="78010000">
      <w:pPr>
        <w:pStyle w:val="Style_17"/>
        <w:widowControl w:val="1"/>
        <w:numPr>
          <w:ilvl w:val="0"/>
          <w:numId w:val="5"/>
        </w:numPr>
        <w:ind w:firstLine="0" w:left="0"/>
      </w:pPr>
      <w:r>
        <w:t>ф</w:t>
      </w:r>
      <w:r>
        <w:t>ормирование у пациента необходимо высокого уровня комплаентности (приверженности) к поддержанию достигнутого</w:t>
      </w:r>
      <w:r>
        <w:t xml:space="preserve"> после лечения КЗ</w:t>
      </w:r>
      <w:r>
        <w:t xml:space="preserve"> уровня стоматологического здоровья и </w:t>
      </w:r>
      <w:r>
        <w:t>ГПР</w:t>
      </w:r>
      <w:r>
        <w:t>;</w:t>
      </w:r>
    </w:p>
    <w:p w14:paraId="79010000">
      <w:pPr>
        <w:pStyle w:val="Style_17"/>
        <w:widowControl w:val="1"/>
        <w:numPr>
          <w:ilvl w:val="0"/>
          <w:numId w:val="5"/>
        </w:numPr>
        <w:ind w:firstLine="0" w:left="0"/>
      </w:pPr>
      <w:r>
        <w:t>о</w:t>
      </w:r>
      <w:r>
        <w:t>беспечение диспансерного наблюдения стоматолога отдельны</w:t>
      </w:r>
      <w:r>
        <w:t>м</w:t>
      </w:r>
      <w:r>
        <w:t xml:space="preserve"> групп</w:t>
      </w:r>
      <w:r>
        <w:t>ам</w:t>
      </w:r>
      <w:r>
        <w:t xml:space="preserve"> пациентов с </w:t>
      </w:r>
      <w:r>
        <w:t>КЗ</w:t>
      </w:r>
      <w:r>
        <w:t>.</w:t>
      </w:r>
    </w:p>
    <w:p w14:paraId="7A010000">
      <w:pPr>
        <w:pStyle w:val="Style_17"/>
      </w:pPr>
      <w:r>
        <w:t xml:space="preserve">Выбор метода лечения, объем лечебно-профилактических </w:t>
      </w:r>
      <w:r>
        <w:t xml:space="preserve">и реабилитационных </w:t>
      </w:r>
      <w:r>
        <w:t>мероприятий определяются стадией заболевания</w:t>
      </w:r>
      <w:r>
        <w:t>, интенсивностью кариозного поражения</w:t>
      </w:r>
      <w:r>
        <w:t>, его локализацией</w:t>
      </w:r>
      <w:r>
        <w:t xml:space="preserve"> и активностью течения</w:t>
      </w:r>
      <w:r>
        <w:t>,</w:t>
      </w:r>
      <w:r>
        <w:t xml:space="preserve"> а также</w:t>
      </w:r>
      <w:r>
        <w:t xml:space="preserve"> уровнем эстетических требований пациента</w:t>
      </w:r>
      <w:r>
        <w:t>.</w:t>
      </w:r>
      <w:r>
        <w:t xml:space="preserve"> </w:t>
      </w:r>
    </w:p>
    <w:p w14:paraId="7B010000">
      <w:pPr>
        <w:pStyle w:val="Style_17"/>
      </w:pPr>
      <w:r>
        <w:t>Для</w:t>
      </w:r>
      <w:r>
        <w:t xml:space="preserve"> лечени</w:t>
      </w:r>
      <w:r>
        <w:t>я</w:t>
      </w:r>
      <w:r>
        <w:t xml:space="preserve"> </w:t>
      </w:r>
      <w:r>
        <w:t>КЗ</w:t>
      </w:r>
      <w:r>
        <w:t xml:space="preserve"> </w:t>
      </w:r>
      <w:r>
        <w:t>используются</w:t>
      </w:r>
      <w:r>
        <w:t xml:space="preserve"> только те стоматологические материалы и лекарственные средства, которые разрешены к применению на территории Р</w:t>
      </w:r>
      <w:r>
        <w:t>Ф</w:t>
      </w:r>
      <w:r>
        <w:t xml:space="preserve"> в установленном порядке</w:t>
      </w:r>
      <w:r>
        <w:t xml:space="preserve">, </w:t>
      </w:r>
      <w:r>
        <w:t xml:space="preserve">их выбор осуществляется </w:t>
      </w:r>
      <w:r>
        <w:t>согласованно с пациентом</w:t>
      </w:r>
      <w:r>
        <w:t>.</w:t>
      </w:r>
    </w:p>
    <w:p w14:paraId="7C010000">
      <w:pPr>
        <w:pStyle w:val="Style_17"/>
      </w:pPr>
      <w:r>
        <w:t xml:space="preserve">В лечении КЗ </w:t>
      </w:r>
      <w:r>
        <w:t>применяются</w:t>
      </w:r>
      <w:r>
        <w:t xml:space="preserve"> консервативные (неинвазивные), хирургические (инвазивные, оперативно-восстановительные) методы</w:t>
      </w:r>
      <w:r>
        <w:t xml:space="preserve">. </w:t>
      </w:r>
      <w:r>
        <w:t>В лечебном комплексе могут быть также использованы</w:t>
      </w:r>
      <w:r>
        <w:t xml:space="preserve"> различные немедикаментозные подходы.</w:t>
      </w:r>
    </w:p>
    <w:p w14:paraId="7D010000">
      <w:bookmarkStart w:id="34" w:name="__RefHeading___21"/>
      <w:bookmarkEnd w:id="34"/>
      <w:pPr>
        <w:pStyle w:val="Style_18"/>
      </w:pPr>
      <w:r>
        <w:t>7.2</w:t>
      </w:r>
      <w:r>
        <w:t>. Консервативное лечение кариеса зубов</w:t>
      </w:r>
    </w:p>
    <w:p w14:paraId="7E010000">
      <w:pPr>
        <w:pStyle w:val="Style_17"/>
        <w:rPr>
          <w:highlight w:val="yellow"/>
        </w:rPr>
      </w:pPr>
      <w:r>
        <w:rPr>
          <w:i w:val="1"/>
        </w:rPr>
        <w:t>Консервативное лечение</w:t>
      </w:r>
      <w:r>
        <w:t xml:space="preserve"> показано </w:t>
      </w:r>
      <w:r>
        <w:rPr>
          <w:i w:val="1"/>
        </w:rPr>
        <w:t>пациентам с кариесом эмали (К02.0</w:t>
      </w:r>
      <w:r>
        <w:rPr>
          <w:i w:val="1"/>
        </w:rPr>
        <w:t xml:space="preserve">; </w:t>
      </w:r>
      <w:r>
        <w:rPr>
          <w:i w:val="1"/>
          <w:color w:val="FF0000"/>
        </w:rPr>
        <w:t>ICDAS</w:t>
      </w:r>
      <w:r>
        <w:rPr>
          <w:i w:val="1"/>
          <w:color w:val="FF0000"/>
        </w:rPr>
        <w:t xml:space="preserve"> 1-2</w:t>
      </w:r>
      <w:r>
        <w:rPr>
          <w:i w:val="1"/>
        </w:rPr>
        <w:t>)</w:t>
      </w:r>
      <w:r>
        <w:t>,</w:t>
      </w:r>
      <w:r>
        <w:t xml:space="preserve"> </w:t>
      </w:r>
      <w:r>
        <w:rPr>
          <w:i w:val="1"/>
        </w:rPr>
        <w:t>приостановившимся кариесом</w:t>
      </w:r>
      <w:r>
        <w:rPr>
          <w:i w:val="1"/>
        </w:rPr>
        <w:t xml:space="preserve"> зубов</w:t>
      </w:r>
      <w:r>
        <w:rPr>
          <w:i w:val="1"/>
        </w:rPr>
        <w:t xml:space="preserve"> (К02.3)</w:t>
      </w:r>
      <w:r>
        <w:rPr>
          <w:i w:val="1"/>
        </w:rPr>
        <w:t xml:space="preserve"> и кариесом цемента (К02.2) в форме пятна</w:t>
      </w:r>
      <w:r>
        <w:t xml:space="preserve">, </w:t>
      </w:r>
      <w:r>
        <w:t>осуществляется с использованием неинвазивных / микроинвазивных методов лечения</w:t>
      </w:r>
      <w:r>
        <w:t xml:space="preserve"> </w:t>
      </w:r>
      <w:r>
        <w:t>(реминерализирующая терапия, инфильтрационное лечение, глубокое фторирование, микроабразия</w:t>
      </w:r>
      <w:r>
        <w:t xml:space="preserve"> и др</w:t>
      </w:r>
      <w:r>
        <w:t>.</w:t>
      </w:r>
      <w:r>
        <w:t>)</w:t>
      </w:r>
      <w:r>
        <w:t>,</w:t>
      </w:r>
      <w:r>
        <w:t xml:space="preserve"> которые</w:t>
      </w:r>
      <w:r>
        <w:t xml:space="preserve"> характеризую</w:t>
      </w:r>
      <w:r>
        <w:t>тся</w:t>
      </w:r>
      <w:r>
        <w:t xml:space="preserve"> высокой эффективностью</w:t>
      </w:r>
      <w:r>
        <w:t>, биологической целесообразностью</w:t>
      </w:r>
      <w:r>
        <w:t xml:space="preserve"> и атравматичностью за счет максимального сохранения целостности </w:t>
      </w:r>
      <w:r>
        <w:t>ТТЗ</w:t>
      </w:r>
      <w:r>
        <w:t xml:space="preserve"> и</w:t>
      </w:r>
      <w:r>
        <w:t xml:space="preserve"> использовани</w:t>
      </w:r>
      <w:r>
        <w:t>я</w:t>
      </w:r>
      <w:r>
        <w:t xml:space="preserve"> </w:t>
      </w:r>
      <w:r>
        <w:t xml:space="preserve">стоматологических материалов со свойствами </w:t>
      </w:r>
      <w:r>
        <w:t>биомимети</w:t>
      </w:r>
      <w:r>
        <w:t>ков</w:t>
      </w:r>
      <w:r>
        <w:t xml:space="preserve"> </w:t>
      </w:r>
      <w:r>
        <w:t>[86-89</w:t>
      </w:r>
      <w:r>
        <w:t>, 279</w:t>
      </w:r>
      <w:r>
        <w:t>]</w:t>
      </w:r>
      <w:r>
        <w:t>.</w:t>
      </w:r>
    </w:p>
    <w:p w14:paraId="7F010000">
      <w:pPr>
        <w:pStyle w:val="Style_17"/>
        <w:rPr>
          <w:color w:val="C00000"/>
        </w:rPr>
      </w:pPr>
      <w:r>
        <w:t xml:space="preserve">В комплексе </w:t>
      </w:r>
      <w:r>
        <w:t xml:space="preserve">консервативного </w:t>
      </w:r>
      <w:r>
        <w:t xml:space="preserve">лечения </w:t>
      </w:r>
      <w:r>
        <w:t>КЗ</w:t>
      </w:r>
      <w:r>
        <w:t xml:space="preserve"> </w:t>
      </w:r>
      <w:r>
        <w:t>рекомендуется использовать следующие</w:t>
      </w:r>
      <w:r>
        <w:t xml:space="preserve"> </w:t>
      </w:r>
      <w:r>
        <w:rPr>
          <w:i w:val="1"/>
        </w:rPr>
        <w:t>немедикаментозные подходы</w:t>
      </w:r>
      <w:r>
        <w:t>, предполагающие</w:t>
      </w:r>
      <w:r>
        <w:t>:</w:t>
      </w:r>
      <w:r>
        <w:t xml:space="preserve"> </w:t>
      </w:r>
      <w:r>
        <w:t xml:space="preserve">применение </w:t>
      </w:r>
      <w:r>
        <w:t>психолого-педагогических методов (обучение</w:t>
      </w:r>
      <w:r>
        <w:t xml:space="preserve"> пациента</w:t>
      </w:r>
      <w:r>
        <w:t xml:space="preserve"> ГПР</w:t>
      </w:r>
      <w:r>
        <w:t xml:space="preserve"> </w:t>
      </w:r>
      <w:r>
        <w:t xml:space="preserve">и </w:t>
      </w:r>
      <w:r>
        <w:t>культуре потребления углеводов</w:t>
      </w:r>
      <w:r>
        <w:t>, формирование комплаентности к поддержанию</w:t>
      </w:r>
      <w:r>
        <w:t xml:space="preserve"> здоровья</w:t>
      </w:r>
      <w:r>
        <w:t xml:space="preserve"> ПР</w:t>
      </w:r>
      <w:r>
        <w:t xml:space="preserve"> </w:t>
      </w:r>
      <w:r>
        <w:t xml:space="preserve">и др.), </w:t>
      </w:r>
    </w:p>
    <w:p w14:paraId="80010000">
      <w:pPr>
        <w:pStyle w:val="Style_21"/>
      </w:pPr>
      <w:r>
        <w:t>Рекомендуется перед началом лечения КЗ провести пациенту профессиональную ГПР, выбирая ее методы и средства с учетом индивидуальных особенностей стоматологического статуса</w:t>
      </w:r>
      <w:r>
        <w:t xml:space="preserve"> </w:t>
      </w:r>
      <w:r>
        <w:t>(</w:t>
      </w:r>
      <w:r>
        <w:rPr>
          <w:i w:val="1"/>
          <w:color w:themeColor="accent5" w:val="4472C4"/>
        </w:rPr>
        <w:t>Приложение Г</w:t>
      </w:r>
      <w:r>
        <w:rPr>
          <w:i w:val="1"/>
          <w:color w:themeColor="accent5" w:val="4472C4"/>
        </w:rPr>
        <w:t>5</w:t>
      </w:r>
      <w:r>
        <w:t xml:space="preserve">) </w:t>
      </w:r>
      <w:r>
        <w:t>[1, 2 ,6]</w:t>
      </w:r>
      <w:r>
        <w:t>.</w:t>
      </w:r>
    </w:p>
    <w:p w14:paraId="81010000">
      <w:pPr>
        <w:pStyle w:val="Style_23"/>
      </w:pPr>
      <w:r>
        <w:t xml:space="preserve">Уровень убедительности </w:t>
      </w:r>
      <w:r>
        <w:t>B</w:t>
      </w:r>
      <w:r>
        <w:t xml:space="preserve"> (уровень достоверности доказательств – </w:t>
      </w:r>
      <w:r>
        <w:t>2</w:t>
      </w:r>
      <w:r>
        <w:t xml:space="preserve">) </w:t>
      </w:r>
    </w:p>
    <w:p w14:paraId="82010000">
      <w:pPr>
        <w:pStyle w:val="Style_21"/>
      </w:pPr>
      <w:r>
        <w:t>Рекомендуется  пациенту</w:t>
      </w:r>
      <w:r>
        <w:t xml:space="preserve"> c КЗ дать совет</w:t>
      </w:r>
      <w:r>
        <w:t xml:space="preserve"> по формированию пищевого рациона: уменьшить количество и частоту потребления легко</w:t>
      </w:r>
      <w:r>
        <w:t xml:space="preserve"> </w:t>
      </w:r>
      <w:r>
        <w:t xml:space="preserve">усваиваемых углеводов, исключить прием сладкого между приемами пищи и перед сном, ограничить потребление напитков и пищевых продуктов с низкими значениями </w:t>
      </w:r>
      <w:r>
        <w:t>pH</w:t>
      </w:r>
      <w:r>
        <w:t xml:space="preserve"> (соки, газированные напитки, вино и др.)</w:t>
      </w:r>
      <w:r>
        <w:t xml:space="preserve"> </w:t>
      </w:r>
      <w:r>
        <w:t>[1, 2, 6]</w:t>
      </w:r>
    </w:p>
    <w:p w14:paraId="83010000">
      <w:pPr>
        <w:pStyle w:val="Style_23"/>
      </w:pPr>
      <w:r>
        <w:t xml:space="preserve">Уровень убедительности </w:t>
      </w:r>
      <w:r>
        <w:t>B</w:t>
      </w:r>
      <w:r>
        <w:t xml:space="preserve"> (уровень достоверности доказательств – </w:t>
      </w:r>
      <w:r>
        <w:t>2</w:t>
      </w:r>
      <w:r>
        <w:t xml:space="preserve">) </w:t>
      </w:r>
    </w:p>
    <w:p w14:paraId="84010000">
      <w:pPr>
        <w:pStyle w:val="Style_21"/>
      </w:pPr>
      <w:r>
        <w:t>Рекомендуется по завершению лечения КЗ</w:t>
      </w:r>
      <w:r>
        <w:t xml:space="preserve"> </w:t>
      </w:r>
      <w:r>
        <w:t>дать пациенту совет по рациональному выбору средств и методов индивидуальной ГПР с учетом индивидуальных особенностей стоматологического статуса, провести обучение пациента правилам и технике индивидуальной ГПР с контролем полученных результатов (контролируемая чистка зубов) (</w:t>
      </w:r>
      <w:r>
        <w:rPr>
          <w:i w:val="1"/>
          <w:color w:themeColor="accent5" w:val="4472C4"/>
        </w:rPr>
        <w:t>Приложение Г</w:t>
      </w:r>
      <w:r>
        <w:rPr>
          <w:i w:val="1"/>
          <w:color w:themeColor="accent5" w:val="4472C4"/>
        </w:rPr>
        <w:t>6</w:t>
      </w:r>
      <w:r>
        <w:t>)</w:t>
      </w:r>
      <w:r>
        <w:t xml:space="preserve"> [1, 2, 6].</w:t>
      </w:r>
    </w:p>
    <w:p w14:paraId="85010000">
      <w:pPr>
        <w:pStyle w:val="Style_23"/>
      </w:pPr>
      <w:r>
        <w:t xml:space="preserve">Уровень убедительности </w:t>
      </w:r>
      <w:r>
        <w:t>B</w:t>
      </w:r>
      <w:r>
        <w:t xml:space="preserve"> (уровень достоверности доказательств – </w:t>
      </w:r>
      <w:r>
        <w:t>2</w:t>
      </w:r>
      <w:r>
        <w:t xml:space="preserve">) </w:t>
      </w:r>
    </w:p>
    <w:p w14:paraId="86010000">
      <w:pPr>
        <w:pStyle w:val="Style_21"/>
      </w:pPr>
      <w:r>
        <w:t xml:space="preserve">Рекомендуется </w:t>
      </w:r>
      <w:r>
        <w:t xml:space="preserve"> </w:t>
      </w:r>
      <w:r>
        <w:t>(</w:t>
      </w:r>
      <w:r>
        <w:rPr>
          <w:u w:val="single"/>
        </w:rPr>
        <w:t>по показаниям</w:t>
      </w:r>
      <w:r>
        <w:rPr>
          <w:u w:val="single"/>
        </w:rPr>
        <w:t>)</w:t>
      </w:r>
      <w:r>
        <w:t xml:space="preserve"> </w:t>
      </w:r>
      <w:r>
        <w:t>поставить пациента</w:t>
      </w:r>
      <w:r>
        <w:t xml:space="preserve"> </w:t>
      </w:r>
      <w:r>
        <w:t xml:space="preserve">на диспансерный учет с периодичностью осмотров </w:t>
      </w:r>
      <w:r>
        <w:t>один раз в шесть месяцев</w:t>
      </w:r>
      <w:r>
        <w:t xml:space="preserve"> [1, 2, 6</w:t>
      </w:r>
      <w:r>
        <w:t>]</w:t>
      </w:r>
      <w:r>
        <w:t>.</w:t>
      </w:r>
    </w:p>
    <w:p w14:paraId="87010000">
      <w:pPr>
        <w:pStyle w:val="Style_23"/>
      </w:pPr>
      <w:r>
        <w:t xml:space="preserve">Уровень убедительности </w:t>
      </w:r>
      <w:r>
        <w:t>B</w:t>
      </w:r>
      <w:r>
        <w:t xml:space="preserve"> (уровень достоверности доказательств – 2) </w:t>
      </w:r>
    </w:p>
    <w:p w14:paraId="88010000">
      <w:bookmarkStart w:id="35" w:name="__RefHeading___22"/>
      <w:bookmarkEnd w:id="35"/>
      <w:pPr>
        <w:pStyle w:val="Style_18"/>
      </w:pPr>
      <w:r>
        <w:t>2.1</w:t>
      </w:r>
      <w:r>
        <w:t xml:space="preserve">. Лечение </w:t>
      </w:r>
      <w:r>
        <w:t xml:space="preserve">пациентов с </w:t>
      </w:r>
      <w:r>
        <w:t>кариес</w:t>
      </w:r>
      <w:r>
        <w:t>ом</w:t>
      </w:r>
      <w:r>
        <w:t xml:space="preserve"> эмали</w:t>
      </w:r>
      <w:r>
        <w:t xml:space="preserve"> (К02.0)</w:t>
      </w:r>
    </w:p>
    <w:p w14:paraId="89010000">
      <w:pPr>
        <w:pStyle w:val="Style_21"/>
      </w:pPr>
      <w:r>
        <w:t xml:space="preserve">Рекомендуется </w:t>
      </w:r>
      <w:r>
        <w:t xml:space="preserve">у пациентов с </w:t>
      </w:r>
      <w:r>
        <w:rPr>
          <w:i w:val="1"/>
        </w:rPr>
        <w:t>кариесом эмали</w:t>
      </w:r>
      <w:r>
        <w:rPr>
          <w:i w:val="1"/>
        </w:rPr>
        <w:t xml:space="preserve"> (К02.0)</w:t>
      </w:r>
      <w:r>
        <w:t xml:space="preserve"> проведение </w:t>
      </w:r>
      <w:r>
        <w:t>курс</w:t>
      </w:r>
      <w:r>
        <w:t>а</w:t>
      </w:r>
      <w:r>
        <w:t xml:space="preserve"> </w:t>
      </w:r>
      <w:r>
        <w:rPr>
          <w:i w:val="1"/>
        </w:rPr>
        <w:t>реминерализирующей терапии</w:t>
      </w:r>
      <w:r>
        <w:t xml:space="preserve"> </w:t>
      </w:r>
      <w:r>
        <w:t xml:space="preserve">с использованием кальций- и фторсодержащих лекарственных средств </w:t>
      </w:r>
      <w:r>
        <w:t>для восполнения</w:t>
      </w:r>
      <w:r>
        <w:t xml:space="preserve"> утраченных</w:t>
      </w:r>
      <w:r>
        <w:t xml:space="preserve"> минеральных компонентов деминерализованной эмали</w:t>
      </w:r>
      <w:r>
        <w:t xml:space="preserve"> [1, 2, 96-106].</w:t>
      </w:r>
    </w:p>
    <w:p w14:paraId="8A010000">
      <w:pPr>
        <w:pStyle w:val="Style_21"/>
      </w:pPr>
      <w:r>
        <w:t>«Препараты для профилактики кариеса</w:t>
      </w:r>
      <w:r>
        <w:t>»</w:t>
      </w:r>
      <w:r>
        <w:t xml:space="preserve"> </w:t>
      </w:r>
      <w:r>
        <w:t>(</w:t>
      </w:r>
      <w:r>
        <w:t>A01AA</w:t>
      </w:r>
      <w:r>
        <w:t>)</w:t>
      </w:r>
    </w:p>
    <w:p w14:paraId="8B010000">
      <w:pPr>
        <w:pStyle w:val="Style_17"/>
        <w:widowControl w:val="1"/>
        <w:ind w:firstLine="1134"/>
      </w:pPr>
      <w:r>
        <w:rPr>
          <w:i w:val="1"/>
        </w:rPr>
        <w:t>Глюконат кальция</w:t>
      </w:r>
      <w:r>
        <w:t xml:space="preserve"> (10% р</w:t>
      </w:r>
      <w:r>
        <w:t>-р</w:t>
      </w:r>
      <w:r>
        <w:t>) для аппликаций на предварительно очищенную и высушенную пораженную поверхность зуба (на 10-20 мин. со сменой тампона каждые 4-5 минут), сочетая каждую 3-ю процедуру с последующей аппликацией натрия фторида (2-4% р</w:t>
      </w:r>
      <w:r>
        <w:t xml:space="preserve">-р) </w:t>
      </w:r>
      <w:r>
        <w:t>(</w:t>
      </w:r>
      <w:r>
        <w:rPr>
          <w:u w:val="single"/>
        </w:rPr>
        <w:fldChar w:fldCharType="begin"/>
      </w:r>
      <w:r>
        <w:rPr>
          <w:u w:val="single"/>
        </w:rPr>
        <w:instrText>HYPERLINK "https://www.vidal.ru/drugs/atc/a01aa51"</w:instrText>
      </w:r>
      <w:r>
        <w:rPr>
          <w:u w:val="single"/>
        </w:rPr>
        <w:fldChar w:fldCharType="separate"/>
      </w:r>
      <w:r>
        <w:rPr>
          <w:u w:val="single"/>
        </w:rPr>
        <w:t>A01AA51</w:t>
      </w:r>
      <w:r>
        <w:rPr>
          <w:u w:val="single"/>
        </w:rPr>
        <w:fldChar w:fldCharType="end"/>
      </w:r>
      <w:r>
        <w:t>)</w:t>
      </w:r>
      <w:r>
        <w:t xml:space="preserve"> </w:t>
      </w:r>
      <w:r>
        <w:t>продолжительностью</w:t>
      </w:r>
      <w:r>
        <w:t xml:space="preserve"> 2-3 мин.</w:t>
      </w:r>
      <w:r>
        <w:t>, курсом</w:t>
      </w:r>
      <w:r>
        <w:t xml:space="preserve"> 10-15 дней, ежедневно или через день, в утренние часы</w:t>
      </w:r>
      <w:r>
        <w:t>.</w:t>
      </w:r>
      <w:r>
        <w:t xml:space="preserve"> </w:t>
      </w:r>
      <w:r>
        <w:t>П</w:t>
      </w:r>
      <w:r>
        <w:t>остпроцедурное ведение: исключить прием воды и пищи в течение 30 мин</w:t>
      </w:r>
      <w:r>
        <w:t>.</w:t>
      </w:r>
    </w:p>
    <w:p w14:paraId="8C010000">
      <w:pPr>
        <w:pStyle w:val="Style_23"/>
      </w:pPr>
      <w:r>
        <w:t xml:space="preserve">Уровень убедительности </w:t>
      </w:r>
      <w:r>
        <w:t>A</w:t>
      </w:r>
      <w:r>
        <w:t xml:space="preserve"> (уровень достоверности доказательств – </w:t>
      </w:r>
      <w:r>
        <w:t>1</w:t>
      </w:r>
      <w:r>
        <w:t xml:space="preserve">) </w:t>
      </w:r>
    </w:p>
    <w:p w14:paraId="8D010000">
      <w:pPr>
        <w:pStyle w:val="Style_22"/>
        <w:widowControl w:val="1"/>
        <w:ind w:firstLine="426" w:left="0"/>
      </w:pPr>
      <w:r>
        <w:rPr>
          <w:b w:val="1"/>
        </w:rPr>
        <w:t>Комментарии:</w:t>
      </w:r>
      <w:r>
        <w:t xml:space="preserve"> </w:t>
      </w:r>
      <w:r>
        <w:t>в качестве реминерализирующих лекарственных средств кроме 10% р-ра кальция глюконата могут быть использованы кальция фосфат (2-10% р-р), натрия фторид 1-2% лак или гель и др</w:t>
      </w:r>
      <w:r>
        <w:t>.</w:t>
      </w:r>
    </w:p>
    <w:p w14:paraId="8E010000">
      <w:pPr>
        <w:pStyle w:val="Style_21"/>
        <w:widowControl w:val="1"/>
        <w:tabs>
          <w:tab w:leader="none" w:pos="0" w:val="left"/>
          <w:tab w:leader="none" w:pos="360" w:val="clear"/>
        </w:tabs>
        <w:ind w:firstLine="0" w:left="0"/>
      </w:pPr>
      <w:r>
        <w:t xml:space="preserve">Рекомендуется у пациентов с </w:t>
      </w:r>
      <w:r>
        <w:rPr>
          <w:i w:val="1"/>
        </w:rPr>
        <w:t>кариесом эмали (К02.0)</w:t>
      </w:r>
      <w:r>
        <w:t xml:space="preserve"> проведение </w:t>
      </w:r>
      <w:r>
        <w:t>микроинвазивного лечения</w:t>
      </w:r>
      <w:r>
        <w:t xml:space="preserve"> метод</w:t>
      </w:r>
      <w:r>
        <w:t>ом</w:t>
      </w:r>
      <w:r>
        <w:t xml:space="preserve"> </w:t>
      </w:r>
      <w:r>
        <w:rPr>
          <w:i w:val="1"/>
        </w:rPr>
        <w:t>инфильтрации</w:t>
      </w:r>
      <w:r>
        <w:t xml:space="preserve"> очага </w:t>
      </w:r>
      <w:r>
        <w:t>деминерализованной эмали жидкотекучим композитом</w:t>
      </w:r>
      <w:r>
        <w:t xml:space="preserve"> [119-136].</w:t>
      </w:r>
    </w:p>
    <w:p w14:paraId="8F010000">
      <w:pPr>
        <w:pStyle w:val="Style_23"/>
      </w:pPr>
      <w:r>
        <w:t xml:space="preserve">Уровень убедительности </w:t>
      </w:r>
      <w:r>
        <w:t>A</w:t>
      </w:r>
      <w:r>
        <w:t xml:space="preserve"> (уровень достоверности доказательств – </w:t>
      </w:r>
      <w:r>
        <w:t>1</w:t>
      </w:r>
      <w:r>
        <w:t xml:space="preserve">) </w:t>
      </w:r>
    </w:p>
    <w:p w14:paraId="90010000">
      <w:pPr>
        <w:pStyle w:val="Style_22"/>
      </w:pPr>
      <w:r>
        <w:rPr>
          <w:b w:val="1"/>
        </w:rPr>
        <w:t>Комментарии:</w:t>
      </w:r>
    </w:p>
    <w:p w14:paraId="91010000">
      <w:pPr>
        <w:pStyle w:val="Style_22"/>
        <w:widowControl w:val="1"/>
        <w:ind w:left="0"/>
      </w:pPr>
      <w:r>
        <w:rPr>
          <w:b w:val="1"/>
        </w:rPr>
        <w:t>Алгоритм кариес-инфильтрации</w:t>
      </w:r>
      <w:r>
        <w:rPr>
          <w:b w:val="1"/>
        </w:rPr>
        <w:t xml:space="preserve"> включает:</w:t>
      </w:r>
      <w:r>
        <w:t xml:space="preserve"> наложение жидкого или латексного коффердама</w:t>
      </w:r>
      <w:r>
        <w:t xml:space="preserve"> </w:t>
      </w:r>
      <w:r>
        <w:t xml:space="preserve">для </w:t>
      </w:r>
      <w:r>
        <w:t>высушивания</w:t>
      </w:r>
      <w:r>
        <w:t xml:space="preserve"> поверхности зуба и защиты мягких тканей,  </w:t>
      </w:r>
      <w:r>
        <w:t xml:space="preserve">протравление </w:t>
      </w:r>
      <w:r>
        <w:t>эмали 15% р</w:t>
      </w:r>
      <w:r>
        <w:t>-</w:t>
      </w:r>
      <w:r>
        <w:t>ром соляной кислоты в форме геля в течение 2 мин. для раскрытия порозной системы подповерхностно</w:t>
      </w:r>
      <w:r>
        <w:t>го</w:t>
      </w:r>
      <w:r>
        <w:t xml:space="preserve"> сло</w:t>
      </w:r>
      <w:r>
        <w:t>я</w:t>
      </w:r>
      <w:r>
        <w:t xml:space="preserve"> эмали; смывание соляной кислоты водой в течение 30 сек и высушивание воздухом</w:t>
      </w:r>
      <w:r>
        <w:t xml:space="preserve">; аппликации 99% этилового спирта для удаление остатков жидкости и высушивания эмали; 2-х этапная инфильтрация эмали жидкотекучим композитом (инфильтрантом) путём нанесения на 3 мин первой порции с последующей полимеризацией </w:t>
      </w:r>
      <w:r>
        <w:t xml:space="preserve">(40 сек) </w:t>
      </w:r>
      <w:r>
        <w:t>и второй порции с последующей полимеризацией</w:t>
      </w:r>
      <w:r>
        <w:t xml:space="preserve"> (40-60 сек)</w:t>
      </w:r>
      <w:r>
        <w:t>; полировка поверхности проинфильтрированной эмали полировочны</w:t>
      </w:r>
      <w:r>
        <w:t>ми</w:t>
      </w:r>
      <w:r>
        <w:t xml:space="preserve"> чаше</w:t>
      </w:r>
      <w:r>
        <w:t>чками</w:t>
      </w:r>
      <w:r>
        <w:t xml:space="preserve">. </w:t>
      </w:r>
      <w:r>
        <w:t>Л</w:t>
      </w:r>
      <w:r>
        <w:t>ечени</w:t>
      </w:r>
      <w:r>
        <w:t>е апроксимального КЗ</w:t>
      </w:r>
      <w:r>
        <w:t xml:space="preserve"> проводят после предварительного расклинивания зубов для обеспечения лучшего доступа к очагу поражения.</w:t>
      </w:r>
    </w:p>
    <w:p w14:paraId="92010000">
      <w:pPr>
        <w:pStyle w:val="Style_22"/>
        <w:widowControl w:val="1"/>
        <w:ind w:left="0"/>
      </w:pPr>
      <w:r>
        <w:t>Учитывая, что проинфильтрированная поверхность эмали сохраняет повышенную шероховатость,</w:t>
      </w:r>
      <w:r>
        <w:t xml:space="preserve"> способствующую </w:t>
      </w:r>
      <w:r>
        <w:t xml:space="preserve">кумуляции зубной бляшки, пациенту рекомендуется обратить особое внимание на необходимость тщательной регулярной </w:t>
      </w:r>
      <w:r>
        <w:t>ГПР</w:t>
      </w:r>
      <w:r>
        <w:t xml:space="preserve"> и соблюдение «бесцветной» диеты.</w:t>
      </w:r>
    </w:p>
    <w:p w14:paraId="93010000">
      <w:pPr>
        <w:pStyle w:val="Style_22"/>
        <w:widowControl w:val="1"/>
        <w:ind w:left="0"/>
      </w:pPr>
      <w:r>
        <w:t>Метод инфильтрационного лечения обеспечивает высокие</w:t>
      </w:r>
      <w:r>
        <w:t xml:space="preserve"> (82%)</w:t>
      </w:r>
      <w:r>
        <w:t xml:space="preserve"> ближайшие (до 6-12 мес) эстетико-функциональные результаты, однако </w:t>
      </w:r>
      <w:r>
        <w:t xml:space="preserve">у 18-20% пациентов </w:t>
      </w:r>
      <w:r>
        <w:t xml:space="preserve">в отдаленные сроки </w:t>
      </w:r>
      <w:r>
        <w:t xml:space="preserve">возникают </w:t>
      </w:r>
      <w:r>
        <w:t xml:space="preserve">осложнения в виде рецидивного </w:t>
      </w:r>
      <w:r>
        <w:t>/ вторичного</w:t>
      </w:r>
      <w:r>
        <w:t xml:space="preserve"> кариеса, окрашивани</w:t>
      </w:r>
      <w:r>
        <w:t>я</w:t>
      </w:r>
      <w:r>
        <w:t xml:space="preserve"> проинфильтрированной эмали, гиперестезии и др</w:t>
      </w:r>
      <w:r>
        <w:t>.</w:t>
      </w:r>
      <w:r>
        <w:t>, поэтому для</w:t>
      </w:r>
      <w:r>
        <w:t xml:space="preserve"> </w:t>
      </w:r>
      <w:r>
        <w:t>обеспечения высоких и стойких результатов и профилактики осложнений инфильтрационного лечения рекомендуются различные варианты его комбинирования с методиками ремотерапии</w:t>
      </w:r>
      <w:r>
        <w:t xml:space="preserve"> </w:t>
      </w:r>
      <w:r>
        <w:t>[132-134].</w:t>
      </w:r>
    </w:p>
    <w:p w14:paraId="94010000">
      <w:pPr>
        <w:pStyle w:val="Style_21"/>
      </w:pPr>
      <w:r>
        <w:t>Ре</w:t>
      </w:r>
      <w:r>
        <w:t>к</w:t>
      </w:r>
      <w:r>
        <w:t>о</w:t>
      </w:r>
      <w:r>
        <w:t>мендуется</w:t>
      </w:r>
      <w:r>
        <w:t xml:space="preserve"> пациентам с </w:t>
      </w:r>
      <w:r>
        <w:rPr>
          <w:i w:val="1"/>
        </w:rPr>
        <w:t>кариесом эмали</w:t>
      </w:r>
      <w:r>
        <w:rPr>
          <w:i w:val="1"/>
        </w:rPr>
        <w:t xml:space="preserve"> (К02.0)</w:t>
      </w:r>
      <w:r>
        <w:t xml:space="preserve"> проведение </w:t>
      </w:r>
      <w:r>
        <w:rPr>
          <w:b w:val="1"/>
          <w:i w:val="1"/>
        </w:rPr>
        <w:t>микроабразии</w:t>
      </w:r>
      <w:r>
        <w:rPr>
          <w:b w:val="1"/>
        </w:rPr>
        <w:t xml:space="preserve"> </w:t>
      </w:r>
      <w:r>
        <w:t>(сошлифовывани</w:t>
      </w:r>
      <w:r>
        <w:t>е</w:t>
      </w:r>
      <w:r>
        <w:t xml:space="preserve"> от 25 до 200 мкм деминерализованной эмали</w:t>
      </w:r>
      <w:r>
        <w:t>)</w:t>
      </w:r>
      <w:r>
        <w:t xml:space="preserve"> химико-механическим способом с </w:t>
      </w:r>
      <w:r>
        <w:t xml:space="preserve">последующим </w:t>
      </w:r>
      <w:r>
        <w:t>проведением местной рем</w:t>
      </w:r>
      <w:r>
        <w:t>о</w:t>
      </w:r>
      <w:r>
        <w:t>терапии препаратами, содержащими кальций, фосфаты или гидроксиапатит</w:t>
      </w:r>
      <w:r>
        <w:t xml:space="preserve"> [143-151].</w:t>
      </w:r>
    </w:p>
    <w:p w14:paraId="95010000">
      <w:pPr>
        <w:pStyle w:val="Style_23"/>
      </w:pPr>
      <w:r>
        <w:t xml:space="preserve">Уровень убедительности </w:t>
      </w:r>
      <w:r>
        <w:t>A</w:t>
      </w:r>
      <w:r>
        <w:t xml:space="preserve"> (уровень достоверности доказательств – </w:t>
      </w:r>
      <w:r>
        <w:t>1</w:t>
      </w:r>
      <w:r>
        <w:t xml:space="preserve">) </w:t>
      </w:r>
    </w:p>
    <w:p w14:paraId="96010000">
      <w:pPr>
        <w:pStyle w:val="Style_22"/>
        <w:widowControl w:val="1"/>
        <w:ind w:firstLine="709" w:left="0"/>
      </w:pPr>
      <w:r>
        <w:rPr>
          <w:b w:val="1"/>
        </w:rPr>
        <w:t>Комментарии:</w:t>
      </w:r>
      <w:r>
        <w:t xml:space="preserve"> Алгоритм лечения кариеса эмали </w:t>
      </w:r>
      <w:r>
        <w:t xml:space="preserve">методом </w:t>
      </w:r>
      <w:r>
        <w:t>микроабрази</w:t>
      </w:r>
      <w:r>
        <w:t>и</w:t>
      </w:r>
      <w:r>
        <w:t xml:space="preserve"> </w:t>
      </w:r>
      <w:r>
        <w:t>включает</w:t>
      </w:r>
      <w:r>
        <w:t xml:space="preserve"> в себя последовательное проведение изоляции рабочего поля коффердамом, сошлифовывание пораженной эмали алмазным финиром, аппликации </w:t>
      </w:r>
      <w:r>
        <w:t xml:space="preserve">смеси 18% соляной кислоты и пемзы (или порошка карбида кремния) </w:t>
      </w:r>
      <w:r>
        <w:t>на поверхность зуба для химико-механического удаления пораженной эмали, полирования сошлифованной эмали микроабразивной пастой и резиновыми колпачками</w:t>
      </w:r>
      <w:r>
        <w:t xml:space="preserve">, полоскания </w:t>
      </w:r>
      <w:r>
        <w:t>ПР и</w:t>
      </w:r>
      <w:r>
        <w:t xml:space="preserve"> завершающего курса ремотерапии для укрепления структуры эмали</w:t>
      </w:r>
      <w:r>
        <w:t>. Процедура проводится через 2 недели после профессиональной ГПР.</w:t>
      </w:r>
    </w:p>
    <w:p w14:paraId="97010000">
      <w:bookmarkStart w:id="36" w:name="__RefHeading___23"/>
      <w:bookmarkEnd w:id="36"/>
      <w:pPr>
        <w:pStyle w:val="Style_18"/>
      </w:pPr>
      <w:r>
        <w:t xml:space="preserve">2.2. Лечение </w:t>
      </w:r>
      <w:r>
        <w:t xml:space="preserve">пациентов с </w:t>
      </w:r>
      <w:r>
        <w:t>приостановивш</w:t>
      </w:r>
      <w:r>
        <w:t>имся</w:t>
      </w:r>
      <w:r>
        <w:t xml:space="preserve"> кариес</w:t>
      </w:r>
      <w:r>
        <w:t>ом</w:t>
      </w:r>
      <w:r>
        <w:t xml:space="preserve"> зубов</w:t>
      </w:r>
      <w:r>
        <w:t xml:space="preserve"> </w:t>
      </w:r>
      <w:r>
        <w:t>(К02.3)</w:t>
      </w:r>
    </w:p>
    <w:p w14:paraId="98010000">
      <w:pPr>
        <w:pStyle w:val="Style_17"/>
      </w:pPr>
      <w:r>
        <w:t xml:space="preserve">Выбор метода лечения </w:t>
      </w:r>
      <w:r>
        <w:rPr>
          <w:i w:val="1"/>
        </w:rPr>
        <w:t>приостановившегося кариеса</w:t>
      </w:r>
      <w:r>
        <w:rPr>
          <w:i w:val="1"/>
        </w:rPr>
        <w:t xml:space="preserve"> зубов</w:t>
      </w:r>
      <w:r>
        <w:rPr>
          <w:i w:val="1"/>
        </w:rPr>
        <w:t xml:space="preserve"> (</w:t>
      </w:r>
      <w:r>
        <w:rPr>
          <w:i w:val="1"/>
        </w:rPr>
        <w:t>К02.3)</w:t>
      </w:r>
      <w:r>
        <w:rPr>
          <w:i w:val="1"/>
        </w:rPr>
        <w:t>, кариеса цемента (К02.2)</w:t>
      </w:r>
      <w:r>
        <w:t xml:space="preserve"> определяется локализацией</w:t>
      </w:r>
      <w:r>
        <w:t xml:space="preserve"> </w:t>
      </w:r>
      <w:r>
        <w:t>пигментированных тканей зуба</w:t>
      </w:r>
      <w:r>
        <w:t xml:space="preserve"> </w:t>
      </w:r>
      <w:r>
        <w:t xml:space="preserve">(окклюзионные / апроксимальные / </w:t>
      </w:r>
      <w:r>
        <w:t>вестибулярные поверхности зуба;</w:t>
      </w:r>
      <w:r>
        <w:t xml:space="preserve"> расположение пигментированных пятен </w:t>
      </w:r>
      <w:r>
        <w:t>в</w:t>
      </w:r>
      <w:r>
        <w:t xml:space="preserve"> эстетически значимых / незначимых зон</w:t>
      </w:r>
      <w:r>
        <w:t>ах</w:t>
      </w:r>
      <w:r>
        <w:t xml:space="preserve"> </w:t>
      </w:r>
      <w:r>
        <w:t>ПР</w:t>
      </w:r>
      <w:r>
        <w:t>)</w:t>
      </w:r>
      <w:r>
        <w:t>, а также предпочтениями пациента</w:t>
      </w:r>
      <w:r>
        <w:t xml:space="preserve">; в отдельных клинически неманифестных ситуациях лечение </w:t>
      </w:r>
      <w:r>
        <w:t xml:space="preserve">приостановившегося </w:t>
      </w:r>
      <w:r>
        <w:t>КЗ</w:t>
      </w:r>
      <w:r>
        <w:t xml:space="preserve"> </w:t>
      </w:r>
      <w:r>
        <w:t>не требуется</w:t>
      </w:r>
      <w:r>
        <w:t xml:space="preserve"> – </w:t>
      </w:r>
      <w:r>
        <w:t>врач-стоматолог осуществляет наблюдение за динамикой кариозного поражения (профилактический осмотр – 1 раз в год).</w:t>
      </w:r>
      <w:r>
        <w:t xml:space="preserve"> </w:t>
      </w:r>
    </w:p>
    <w:p w14:paraId="99010000">
      <w:bookmarkStart w:id="37" w:name="__RefHeading___24"/>
      <w:bookmarkEnd w:id="37"/>
      <w:pPr>
        <w:pStyle w:val="Style_18"/>
      </w:pPr>
      <w:r>
        <w:t>3. Оперативно-восстановительное (инвазивное, хирургическое) лечение кариеса зубов</w:t>
      </w:r>
    </w:p>
    <w:p w14:paraId="9A010000">
      <w:pPr>
        <w:pStyle w:val="Style_17"/>
      </w:pPr>
      <w:r>
        <w:t xml:space="preserve">Оперативно-восстановительное (инвазивное, хирургическое) лечение показано пациентам с </w:t>
      </w:r>
      <w:r>
        <w:rPr>
          <w:i w:val="1"/>
        </w:rPr>
        <w:t>кариесом дентина (К02.1</w:t>
      </w:r>
      <w:r>
        <w:rPr>
          <w:i w:val="1"/>
        </w:rPr>
        <w:t xml:space="preserve"> </w:t>
      </w:r>
      <w:r>
        <w:rPr>
          <w:i w:val="1"/>
        </w:rPr>
        <w:t>кариесом цемента (К02.2)</w:t>
      </w:r>
      <w:r>
        <w:rPr>
          <w:i w:val="1"/>
        </w:rPr>
        <w:t>, кариесом с обнажением пульпы (К02.8)</w:t>
      </w:r>
      <w:r>
        <w:t xml:space="preserve"> и</w:t>
      </w:r>
      <w:r>
        <w:t>,</w:t>
      </w:r>
      <w:r>
        <w:t xml:space="preserve"> </w:t>
      </w:r>
      <w:r>
        <w:t xml:space="preserve">реже, с </w:t>
      </w:r>
      <w:r>
        <w:rPr>
          <w:i w:val="1"/>
        </w:rPr>
        <w:t xml:space="preserve">кариесом эмали (К02.0; </w:t>
      </w:r>
      <w:r>
        <w:t>и</w:t>
      </w:r>
      <w:r>
        <w:t>ли</w:t>
      </w:r>
      <w:r>
        <w:rPr>
          <w:i w:val="1"/>
        </w:rPr>
        <w:t xml:space="preserve"> пр</w:t>
      </w:r>
      <w:r>
        <w:rPr>
          <w:i w:val="1"/>
        </w:rPr>
        <w:t>иостановившимся кариесом</w:t>
      </w:r>
      <w:r>
        <w:rPr>
          <w:i w:val="1"/>
        </w:rPr>
        <w:t xml:space="preserve"> зубов</w:t>
      </w:r>
      <w:r>
        <w:rPr>
          <w:i w:val="1"/>
        </w:rPr>
        <w:t xml:space="preserve"> (К02.3)</w:t>
      </w:r>
      <w:r>
        <w:t>.</w:t>
      </w:r>
    </w:p>
    <w:p w14:paraId="9B010000">
      <w:pPr>
        <w:pStyle w:val="Style_17"/>
        <w:rPr>
          <w:b w:val="1"/>
          <w:i w:val="1"/>
        </w:rPr>
      </w:pPr>
      <w:r>
        <w:rPr>
          <w:rStyle w:val="Style_25_ch"/>
          <w:b w:val="0"/>
          <w:i w:val="1"/>
          <w:color w:val="252A2F"/>
        </w:rPr>
        <w:t xml:space="preserve">Цели </w:t>
      </w:r>
      <w:r>
        <w:rPr>
          <w:rStyle w:val="Style_25_ch"/>
          <w:b w:val="0"/>
          <w:i w:val="1"/>
          <w:color w:val="252A2F"/>
        </w:rPr>
        <w:t xml:space="preserve">оперативно-восстановительного </w:t>
      </w:r>
      <w:r>
        <w:rPr>
          <w:rStyle w:val="Style_25_ch"/>
          <w:b w:val="0"/>
          <w:i w:val="1"/>
          <w:color w:val="252A2F"/>
        </w:rPr>
        <w:t>лечения</w:t>
      </w:r>
      <w:r>
        <w:rPr>
          <w:rStyle w:val="Style_25_ch"/>
          <w:b w:val="0"/>
          <w:i w:val="1"/>
          <w:color w:val="252A2F"/>
        </w:rPr>
        <w:t xml:space="preserve"> КЗ</w:t>
      </w:r>
      <w:r>
        <w:rPr>
          <w:rStyle w:val="Style_25_ch"/>
          <w:b w:val="0"/>
          <w:i w:val="1"/>
          <w:color w:val="252A2F"/>
        </w:rPr>
        <w:t>:</w:t>
      </w:r>
    </w:p>
    <w:p w14:paraId="9C010000">
      <w:pPr>
        <w:pStyle w:val="Style_17"/>
        <w:widowControl w:val="1"/>
        <w:numPr>
          <w:ilvl w:val="0"/>
          <w:numId w:val="6"/>
        </w:numPr>
        <w:ind w:firstLine="0" w:left="0"/>
      </w:pPr>
      <w:r>
        <w:t>прекращение дальнейшего прогрессирования кариозного процесса;</w:t>
      </w:r>
    </w:p>
    <w:p w14:paraId="9D010000">
      <w:pPr>
        <w:pStyle w:val="Style_17"/>
        <w:widowControl w:val="1"/>
        <w:numPr>
          <w:ilvl w:val="0"/>
          <w:numId w:val="6"/>
        </w:numPr>
        <w:ind w:firstLine="0" w:left="0"/>
      </w:pPr>
      <w:r>
        <w:t>создание условий для надежной фиксации пломб, вкладок, виниров, полукоронок и коронок;</w:t>
      </w:r>
    </w:p>
    <w:p w14:paraId="9E010000">
      <w:pPr>
        <w:pStyle w:val="Style_17"/>
        <w:widowControl w:val="1"/>
        <w:numPr>
          <w:ilvl w:val="0"/>
          <w:numId w:val="6"/>
        </w:numPr>
        <w:ind w:firstLine="0" w:left="0"/>
      </w:pPr>
      <w:r>
        <w:t xml:space="preserve">сохранение </w:t>
      </w:r>
      <w:r>
        <w:t>/</w:t>
      </w:r>
      <w:r>
        <w:t xml:space="preserve"> восстановление анатомической формы пораженного кариесом зуба;</w:t>
      </w:r>
    </w:p>
    <w:p w14:paraId="9F010000">
      <w:pPr>
        <w:pStyle w:val="Style_17"/>
        <w:widowControl w:val="1"/>
        <w:numPr>
          <w:ilvl w:val="0"/>
          <w:numId w:val="6"/>
        </w:numPr>
        <w:ind w:firstLine="0" w:left="0"/>
      </w:pPr>
      <w:r>
        <w:t xml:space="preserve">сохранение </w:t>
      </w:r>
      <w:r>
        <w:t>/</w:t>
      </w:r>
      <w:r>
        <w:t xml:space="preserve"> восстановление функциональной способности зубочелюстной системы</w:t>
      </w:r>
      <w:r>
        <w:t xml:space="preserve"> в целом</w:t>
      </w:r>
      <w:r>
        <w:t>;</w:t>
      </w:r>
    </w:p>
    <w:p w14:paraId="A0010000">
      <w:pPr>
        <w:pStyle w:val="Style_17"/>
        <w:widowControl w:val="1"/>
        <w:numPr>
          <w:ilvl w:val="0"/>
          <w:numId w:val="6"/>
        </w:numPr>
        <w:ind w:firstLine="0" w:left="0"/>
      </w:pPr>
      <w:r>
        <w:t>сохранение / восстановление эстетики зубного ряда и лица пациента в целом;</w:t>
      </w:r>
    </w:p>
    <w:p w14:paraId="A1010000">
      <w:pPr>
        <w:pStyle w:val="Style_17"/>
        <w:widowControl w:val="1"/>
        <w:numPr>
          <w:ilvl w:val="0"/>
          <w:numId w:val="6"/>
        </w:numPr>
        <w:ind w:firstLine="0" w:left="0"/>
      </w:pPr>
      <w:r>
        <w:t>предупреждение развития</w:t>
      </w:r>
      <w:r>
        <w:t xml:space="preserve"> местных (со стороны пульпы и периодонта) и/или системных</w:t>
      </w:r>
      <w:r>
        <w:t xml:space="preserve"> осложнений;</w:t>
      </w:r>
    </w:p>
    <w:p w14:paraId="A2010000">
      <w:pPr>
        <w:pStyle w:val="Style_17"/>
        <w:widowControl w:val="1"/>
        <w:numPr>
          <w:ilvl w:val="0"/>
          <w:numId w:val="6"/>
        </w:numPr>
        <w:ind w:firstLine="0" w:left="0"/>
      </w:pPr>
      <w:r>
        <w:t xml:space="preserve">повышение качества жизни </w:t>
      </w:r>
      <w:r>
        <w:t xml:space="preserve">стоматологического </w:t>
      </w:r>
      <w:r>
        <w:t>пациент</w:t>
      </w:r>
      <w:r>
        <w:t>а</w:t>
      </w:r>
      <w:r>
        <w:t>.</w:t>
      </w:r>
    </w:p>
    <w:p w14:paraId="A3010000">
      <w:pPr>
        <w:pStyle w:val="Style_17"/>
        <w:widowControl w:val="1"/>
        <w:ind w:firstLine="0"/>
      </w:pPr>
      <w:r>
        <w:t>и др.</w:t>
      </w:r>
    </w:p>
    <w:p w14:paraId="A4010000">
      <w:bookmarkStart w:id="38" w:name="__RefHeading___25"/>
      <w:bookmarkEnd w:id="38"/>
      <w:pPr>
        <w:pStyle w:val="Style_18"/>
      </w:pPr>
      <w:r>
        <w:t xml:space="preserve">3.1. </w:t>
      </w:r>
      <w:r>
        <w:t>Оперативно-восстановительное л</w:t>
      </w:r>
      <w:r>
        <w:t>ечение пациентов с кариесом дентина</w:t>
      </w:r>
      <w:r>
        <w:t xml:space="preserve"> и цемента</w:t>
      </w:r>
    </w:p>
    <w:p w14:paraId="A5010000">
      <w:pPr>
        <w:pStyle w:val="Style_21"/>
      </w:pPr>
      <w:r>
        <w:t xml:space="preserve">Рекомендуется пациенту с </w:t>
      </w:r>
      <w:r>
        <w:rPr>
          <w:i w:val="1"/>
        </w:rPr>
        <w:t>кариес</w:t>
      </w:r>
      <w:r>
        <w:rPr>
          <w:i w:val="1"/>
        </w:rPr>
        <w:t>ом</w:t>
      </w:r>
      <w:r>
        <w:rPr>
          <w:i w:val="1"/>
        </w:rPr>
        <w:t xml:space="preserve"> дентина</w:t>
      </w:r>
      <w:r>
        <w:t xml:space="preserve"> (К02.1) оперативно-восстановительное лечение </w:t>
      </w:r>
      <w:r>
        <w:t xml:space="preserve">(по возможности) </w:t>
      </w:r>
      <w:r>
        <w:t>проводить</w:t>
      </w:r>
      <w:r>
        <w:t xml:space="preserve"> после очищения поверхности пораженного зуба,</w:t>
      </w:r>
      <w:r>
        <w:t xml:space="preserve"> в условиях</w:t>
      </w:r>
      <w:r>
        <w:t xml:space="preserve"> </w:t>
      </w:r>
      <w:r>
        <w:t xml:space="preserve">его </w:t>
      </w:r>
      <w:r>
        <w:t xml:space="preserve">полной изоляции  от ротовой жидкости </w:t>
      </w:r>
      <w:r>
        <w:t>с помощью</w:t>
      </w:r>
      <w:r>
        <w:t xml:space="preserve"> латексных изоляционных систем</w:t>
      </w:r>
      <w:r>
        <w:t xml:space="preserve"> (коффердам, р</w:t>
      </w:r>
      <w:r>
        <w:t>а</w:t>
      </w:r>
      <w:r>
        <w:t>ббердам, оптодам и др.)</w:t>
      </w:r>
      <w:r>
        <w:t xml:space="preserve"> </w:t>
      </w:r>
      <w:r>
        <w:t>[160-163]</w:t>
      </w:r>
      <w:r>
        <w:t>.</w:t>
      </w:r>
    </w:p>
    <w:p w14:paraId="A6010000">
      <w:pPr>
        <w:widowControl w:val="1"/>
        <w:ind w:firstLine="0" w:left="709"/>
        <w:contextualSpacing w:val="1"/>
        <w:rPr>
          <w:b w:val="1"/>
        </w:rPr>
      </w:pPr>
      <w:r>
        <w:rPr>
          <w:b w:val="1"/>
        </w:rPr>
        <w:t xml:space="preserve">Уровень убедительности рекомендаций </w:t>
      </w:r>
      <w:r>
        <w:rPr>
          <w:b w:val="1"/>
        </w:rPr>
        <w:t>A</w:t>
      </w:r>
      <w:r>
        <w:rPr>
          <w:b w:val="1"/>
        </w:rPr>
        <w:t xml:space="preserve"> (уровень достоверности доказательств –</w:t>
      </w:r>
      <w:r>
        <w:rPr>
          <w:b w:val="1"/>
        </w:rPr>
        <w:t>1</w:t>
      </w:r>
      <w:r>
        <w:rPr>
          <w:b w:val="1"/>
        </w:rPr>
        <w:t>)</w:t>
      </w:r>
    </w:p>
    <w:p w14:paraId="A7010000">
      <w:pPr>
        <w:pStyle w:val="Style_21"/>
      </w:pPr>
      <w:r>
        <w:t>Рекомендуется при проведении оперативно-восстановительного-лечения зубов по поводу кариеса дентина (К02.1) проведение обезболивания с использованием аппликационной, инфильтрационной и/или проводниковой анестезии для контроля болевого симптома на этапах лечения; выбор анестетика проводится с учетом системного статуса и фармакологического анамнеза пациента</w:t>
      </w:r>
      <w:r>
        <w:t xml:space="preserve"> [164-176].</w:t>
      </w:r>
      <w:r>
        <w:t xml:space="preserve">   </w:t>
      </w:r>
    </w:p>
    <w:p w14:paraId="A8010000">
      <w:pPr>
        <w:pStyle w:val="Style_23"/>
      </w:pPr>
      <w:r>
        <w:t xml:space="preserve">Уровень убедительности рекомендаций </w:t>
      </w:r>
      <w:r>
        <w:t>A</w:t>
      </w:r>
      <w:r>
        <w:t xml:space="preserve"> (уровень достоверности доказательств –</w:t>
      </w:r>
      <w:r>
        <w:t>1</w:t>
      </w:r>
      <w:r>
        <w:t>)</w:t>
      </w:r>
    </w:p>
    <w:p w14:paraId="A9010000">
      <w:pPr>
        <w:pStyle w:val="Style_17"/>
        <w:widowControl w:val="1"/>
        <w:ind w:firstLine="567"/>
      </w:pPr>
      <w:bookmarkStart w:id="39" w:name="_Hlk91456652"/>
      <w:r>
        <w:rPr>
          <w:i w:val="1"/>
        </w:rPr>
        <w:t xml:space="preserve">Лидокаина гидрохлорид (15% р-р в форме геля) </w:t>
      </w:r>
      <w:r>
        <w:rPr>
          <w:i w:val="1"/>
        </w:rPr>
        <w:t>(</w:t>
      </w:r>
      <w:bookmarkStart w:id="40" w:name="_Hlk91454920"/>
      <w:r>
        <w:rPr>
          <w:i w:val="1"/>
        </w:rPr>
        <w:t>А</w:t>
      </w:r>
      <w:r>
        <w:rPr>
          <w:i w:val="1"/>
        </w:rPr>
        <w:t>ХТ</w:t>
      </w:r>
      <w:bookmarkEnd w:id="40"/>
      <w:r>
        <w:rPr>
          <w:i w:val="1"/>
        </w:rPr>
        <w:t>-</w:t>
      </w:r>
      <w:r>
        <w:rPr>
          <w:i w:val="1"/>
        </w:rPr>
        <w:t>N01BB02</w:t>
      </w:r>
      <w:r>
        <w:rPr>
          <w:i w:val="1"/>
        </w:rPr>
        <w:t>/</w:t>
      </w:r>
      <w:r>
        <w:rPr>
          <w:rStyle w:val="Style_26_ch"/>
          <w:i w:val="1"/>
        </w:rPr>
        <w:fldChar w:fldCharType="begin"/>
      </w:r>
      <w:r>
        <w:rPr>
          <w:rStyle w:val="Style_26_ch"/>
          <w:i w:val="1"/>
        </w:rPr>
        <w:instrText>HYPERLINK "https://www.vidal.ru/drugs/atc/n01bb52"</w:instrText>
      </w:r>
      <w:r>
        <w:rPr>
          <w:rStyle w:val="Style_26_ch"/>
          <w:i w:val="1"/>
        </w:rPr>
        <w:fldChar w:fldCharType="separate"/>
      </w:r>
      <w:r>
        <w:rPr>
          <w:rStyle w:val="Style_26_ch"/>
          <w:i w:val="1"/>
        </w:rPr>
        <w:t>N01BB52</w:t>
      </w:r>
      <w:r>
        <w:rPr>
          <w:rStyle w:val="Style_26_ch"/>
          <w:i w:val="1"/>
        </w:rPr>
        <w:fldChar w:fldCharType="end"/>
      </w:r>
      <w:r>
        <w:rPr>
          <w:i w:val="1"/>
        </w:rPr>
        <w:t xml:space="preserve">) </w:t>
      </w:r>
      <w:r>
        <w:t>для</w:t>
      </w:r>
      <w:r>
        <w:t xml:space="preserve"> проведения аппликационной анестезии перед инфильтрационной / проводниковой анестезией. Противопоказан при наличии гиперчувствительности к препарату.</w:t>
      </w:r>
    </w:p>
    <w:p w14:paraId="AA010000">
      <w:pPr>
        <w:pStyle w:val="Style_17"/>
        <w:widowControl w:val="1"/>
        <w:ind w:firstLine="567"/>
      </w:pPr>
      <w:r>
        <w:rPr>
          <w:i w:val="1"/>
        </w:rPr>
        <w:t xml:space="preserve">Бензокаин (20% р-р в форме геля) </w:t>
      </w:r>
      <w:r>
        <w:rPr>
          <w:i w:val="1"/>
        </w:rPr>
        <w:t>(</w:t>
      </w:r>
      <w:r>
        <w:rPr>
          <w:i w:val="1"/>
        </w:rPr>
        <w:t>АХТ</w:t>
      </w:r>
      <w:r>
        <w:rPr>
          <w:i w:val="1"/>
        </w:rPr>
        <w:t>-</w:t>
      </w:r>
      <w:r>
        <w:rPr>
          <w:i w:val="1"/>
        </w:rPr>
        <w:t xml:space="preserve"> </w:t>
      </w:r>
      <w:r>
        <w:rPr>
          <w:i w:val="1"/>
        </w:rPr>
        <w:t>N01BA05</w:t>
      </w:r>
      <w:r>
        <w:rPr>
          <w:i w:val="1"/>
        </w:rPr>
        <w:t xml:space="preserve">) </w:t>
      </w:r>
      <w:r>
        <w:t>для</w:t>
      </w:r>
      <w:r>
        <w:t xml:space="preserve"> проведения аппликационной анестезии перед инфильтрационной / проводниковой анестезией.</w:t>
      </w:r>
      <w:r>
        <w:t xml:space="preserve"> Противопоказан при наличии гиперчувствительности к препарату.</w:t>
      </w:r>
    </w:p>
    <w:p w14:paraId="AB010000">
      <w:pPr>
        <w:pStyle w:val="Style_17"/>
        <w:widowControl w:val="1"/>
        <w:ind w:firstLine="567"/>
      </w:pPr>
      <w:r>
        <w:rPr>
          <w:i w:val="1"/>
        </w:rPr>
        <w:t>Артикаина гидрохлорид (4% р-р</w:t>
      </w:r>
      <w:r>
        <w:rPr>
          <w:i w:val="1"/>
        </w:rPr>
        <w:t xml:space="preserve"> с вазоконстриктором 1:100 000 / 1:200 000</w:t>
      </w:r>
      <w:r>
        <w:rPr>
          <w:i w:val="1"/>
        </w:rPr>
        <w:t>)</w:t>
      </w:r>
      <w:r>
        <w:rPr>
          <w:i w:val="1"/>
        </w:rPr>
        <w:t xml:space="preserve"> </w:t>
      </w:r>
      <w:r>
        <w:rPr>
          <w:i w:val="1"/>
        </w:rPr>
        <w:t>(</w:t>
      </w:r>
      <w:r>
        <w:rPr>
          <w:i w:val="1"/>
        </w:rPr>
        <w:t xml:space="preserve">АХТ </w:t>
      </w:r>
      <w:r>
        <w:rPr>
          <w:i w:val="1"/>
        </w:rPr>
        <w:t>-</w:t>
      </w:r>
      <w:r>
        <w:rPr>
          <w:i w:val="1"/>
        </w:rPr>
        <w:t>N01BB08</w:t>
      </w:r>
      <w:r>
        <w:rPr>
          <w:i w:val="1"/>
        </w:rPr>
        <w:t>/</w:t>
      </w:r>
      <w:r>
        <w:rPr>
          <w:rFonts w:ascii="Arial" w:hAnsi="Arial"/>
          <w:color w:val="333333"/>
          <w:sz w:val="20"/>
        </w:rPr>
        <w:t xml:space="preserve"> </w:t>
      </w:r>
      <w:r>
        <w:rPr>
          <w:i w:val="1"/>
        </w:rPr>
        <w:t>N01BB5</w:t>
      </w:r>
      <w:r>
        <w:rPr>
          <w:i w:val="1"/>
        </w:rPr>
        <w:t xml:space="preserve">8 ) </w:t>
      </w:r>
      <w:r>
        <w:t>для проведения</w:t>
      </w:r>
      <w:r>
        <w:t xml:space="preserve"> </w:t>
      </w:r>
      <w:r>
        <w:t>инфильтрационной / проводниковой анестези</w:t>
      </w:r>
      <w:r>
        <w:t>и. Противопоказания: индивидуальная непереносимость, декомпенсированная сердечная недостаточность, глаукома, бронхиальная астма, синдром Адамса-Стокса, тахиаритмия, сахарный диабет, повышенная чувствительность к сульфитам, у пациентов, применяющих неселективные бета-блокаторы и антидепрессанты, - рекомендуется использовать местные анестетики на основе мепивакаина.</w:t>
      </w:r>
    </w:p>
    <w:p w14:paraId="AC010000">
      <w:pPr>
        <w:pStyle w:val="Style_17"/>
        <w:widowControl w:val="1"/>
        <w:ind w:firstLine="0"/>
        <w:rPr>
          <w:i w:val="1"/>
        </w:rPr>
      </w:pPr>
      <w:r>
        <w:rPr>
          <w:i w:val="1"/>
        </w:rPr>
        <w:tab/>
      </w:r>
      <w:r>
        <w:rPr>
          <w:i w:val="1"/>
        </w:rPr>
        <w:t>Мепивакаина гидрохлорид (2% р-р)</w:t>
      </w:r>
      <w:r>
        <w:rPr>
          <w:i w:val="1"/>
        </w:rPr>
        <w:t xml:space="preserve"> </w:t>
      </w:r>
      <w:r>
        <w:rPr>
          <w:i w:val="1"/>
        </w:rPr>
        <w:t>(</w:t>
      </w:r>
      <w:r>
        <w:rPr>
          <w:i w:val="1"/>
        </w:rPr>
        <w:t xml:space="preserve">АХТ </w:t>
      </w:r>
      <w:r>
        <w:rPr>
          <w:i w:val="1"/>
        </w:rPr>
        <w:t>-</w:t>
      </w:r>
      <w:r>
        <w:rPr>
          <w:i w:val="1"/>
        </w:rPr>
        <w:t>N01BB03</w:t>
      </w:r>
      <w:r>
        <w:rPr>
          <w:i w:val="1"/>
        </w:rPr>
        <w:t xml:space="preserve">) </w:t>
      </w:r>
      <w:r>
        <w:t>для проведения инфильтрационной / проводниковой анестези</w:t>
      </w:r>
      <w:r>
        <w:t>и у пациентов с наличием</w:t>
      </w:r>
      <w:r>
        <w:t xml:space="preserve"> системных </w:t>
      </w:r>
      <w:r>
        <w:t>противопоказаний к применению артикаина гидрохлорида.</w:t>
      </w:r>
    </w:p>
    <w:p w14:paraId="AD010000">
      <w:bookmarkStart w:id="41" w:name="__RefHeading___26"/>
      <w:bookmarkEnd w:id="41"/>
      <w:pPr>
        <w:pStyle w:val="Style_18"/>
      </w:pPr>
      <w:bookmarkEnd w:id="39"/>
      <w:r>
        <w:t>3.3. Методики препарирования кариозных полостей: условия проведения, особенности выбора</w:t>
      </w:r>
    </w:p>
    <w:p w14:paraId="AE010000">
      <w:pPr>
        <w:pStyle w:val="Style_21"/>
      </w:pPr>
      <w:r>
        <w:t>Реко</w:t>
      </w:r>
      <w:r>
        <w:t xml:space="preserve">мендуется пациенту с </w:t>
      </w:r>
      <w:r>
        <w:rPr>
          <w:i w:val="1"/>
        </w:rPr>
        <w:t>кариесом дентина</w:t>
      </w:r>
      <w:r>
        <w:t xml:space="preserve"> (</w:t>
      </w:r>
      <w:r>
        <w:t>K</w:t>
      </w:r>
      <w:r>
        <w:t>02.1)</w:t>
      </w:r>
      <w:r>
        <w:t xml:space="preserve"> проводить препарирование кариозной полости с хорошей освещенностью рабочего поля (бестеневые светильники, фиброоптика в наконечнике и др.</w:t>
      </w:r>
      <w:r>
        <w:t xml:space="preserve"> </w:t>
      </w:r>
      <w:r>
        <w:t>[1, 2].</w:t>
      </w:r>
    </w:p>
    <w:p w14:paraId="AF010000">
      <w:pPr>
        <w:pStyle w:val="Style_23"/>
      </w:pPr>
      <w:r>
        <w:t xml:space="preserve">Уровень убедительности рекомендаций </w:t>
      </w:r>
      <w:r>
        <w:t>B</w:t>
      </w:r>
      <w:r>
        <w:t xml:space="preserve"> (уровень достоверности доказательств – 2)</w:t>
      </w:r>
    </w:p>
    <w:p w14:paraId="B0010000">
      <w:pPr>
        <w:pStyle w:val="Style_21"/>
      </w:pPr>
      <w:r>
        <w:t xml:space="preserve">Рекомендуется пациенту с </w:t>
      </w:r>
      <w:r>
        <w:rPr>
          <w:i w:val="1"/>
        </w:rPr>
        <w:t>кариес</w:t>
      </w:r>
      <w:r>
        <w:rPr>
          <w:i w:val="1"/>
        </w:rPr>
        <w:t>ом</w:t>
      </w:r>
      <w:r>
        <w:rPr>
          <w:i w:val="1"/>
        </w:rPr>
        <w:t xml:space="preserve"> дентина</w:t>
      </w:r>
      <w:r>
        <w:t xml:space="preserve"> (К02.1) проводить препарирование кариозной полости с использованием увеличения (</w:t>
      </w:r>
      <w:r>
        <w:t xml:space="preserve">увеличивающие стоматологические зеркала, </w:t>
      </w:r>
      <w:r>
        <w:t>бинокуляры и др.)</w:t>
      </w:r>
      <w:r>
        <w:t xml:space="preserve"> </w:t>
      </w:r>
      <w:r>
        <w:t>[177-185]</w:t>
      </w:r>
      <w:r>
        <w:t xml:space="preserve">. </w:t>
      </w:r>
    </w:p>
    <w:p w14:paraId="B1010000">
      <w:pPr>
        <w:widowControl w:val="1"/>
        <w:ind w:firstLine="0" w:left="709"/>
        <w:contextualSpacing w:val="1"/>
        <w:rPr>
          <w:b w:val="1"/>
        </w:rPr>
      </w:pPr>
      <w:r>
        <w:rPr>
          <w:b w:val="1"/>
        </w:rPr>
        <w:t xml:space="preserve">Уровень убедительности рекомендаций </w:t>
      </w:r>
      <w:r>
        <w:rPr>
          <w:b w:val="1"/>
        </w:rPr>
        <w:t>A</w:t>
      </w:r>
      <w:r>
        <w:rPr>
          <w:b w:val="1"/>
        </w:rPr>
        <w:t xml:space="preserve"> (уровень достоверности доказательств – </w:t>
      </w:r>
      <w:r>
        <w:rPr>
          <w:b w:val="1"/>
        </w:rPr>
        <w:t>1</w:t>
      </w:r>
      <w:r>
        <w:rPr>
          <w:b w:val="1"/>
        </w:rPr>
        <w:t>)</w:t>
      </w:r>
    </w:p>
    <w:p w14:paraId="B2010000">
      <w:pPr>
        <w:pStyle w:val="Style_21"/>
      </w:pPr>
      <w:r>
        <w:t xml:space="preserve">Рекомендуется </w:t>
      </w:r>
      <w:r>
        <w:t xml:space="preserve">пациенту с </w:t>
      </w:r>
      <w:r>
        <w:rPr>
          <w:i w:val="1"/>
        </w:rPr>
        <w:t>кариес</w:t>
      </w:r>
      <w:r>
        <w:rPr>
          <w:i w:val="1"/>
        </w:rPr>
        <w:t>ом</w:t>
      </w:r>
      <w:r>
        <w:rPr>
          <w:i w:val="1"/>
        </w:rPr>
        <w:t xml:space="preserve"> дентина</w:t>
      </w:r>
      <w:r>
        <w:t xml:space="preserve"> (К02.1) </w:t>
      </w:r>
      <w:r>
        <w:t xml:space="preserve">проводить </w:t>
      </w:r>
      <w:r>
        <w:rPr>
          <w:i w:val="1"/>
        </w:rPr>
        <w:t xml:space="preserve">классическое </w:t>
      </w:r>
      <w:r>
        <w:rPr>
          <w:i w:val="1"/>
        </w:rPr>
        <w:t>препарирование</w:t>
      </w:r>
      <w:r>
        <w:t xml:space="preserve"> кариозной полости</w:t>
      </w:r>
      <w:r>
        <w:t>, используя с</w:t>
      </w:r>
      <w:r>
        <w:t>терильны</w:t>
      </w:r>
      <w:r>
        <w:t>е</w:t>
      </w:r>
      <w:r>
        <w:t>, остры</w:t>
      </w:r>
      <w:r>
        <w:t>е</w:t>
      </w:r>
      <w:r>
        <w:t xml:space="preserve"> бор</w:t>
      </w:r>
      <w:r>
        <w:t>ы</w:t>
      </w:r>
      <w:r>
        <w:t xml:space="preserve"> с </w:t>
      </w:r>
      <w:r>
        <w:t xml:space="preserve">обильным </w:t>
      </w:r>
      <w:r>
        <w:t>водяным охлаждением</w:t>
      </w:r>
      <w:r>
        <w:t xml:space="preserve"> </w:t>
      </w:r>
      <w:r>
        <w:t xml:space="preserve">(не менее 70-80 мл/мин) </w:t>
      </w:r>
      <w:r>
        <w:t>с учетом особенностей препарирования для различных локализаций / классов кариозной полости</w:t>
      </w:r>
      <w:r>
        <w:t>, а также с учетом выбранного реставрационного материала (</w:t>
      </w:r>
      <w:r>
        <w:t xml:space="preserve">например, при выборе амальгамы в качестве пломбировочного материала рекомендуется </w:t>
      </w:r>
      <w:r>
        <w:t>методика «профилактического расширения» по Блэку</w:t>
      </w:r>
      <w:r>
        <w:t>,</w:t>
      </w:r>
      <w:r>
        <w:t xml:space="preserve"> </w:t>
      </w:r>
      <w:r>
        <w:t>при пломбировании полости композитным материалом с использованием адгезивных систем –</w:t>
      </w:r>
      <w:r>
        <w:t xml:space="preserve"> методика щадящего препарирования)</w:t>
      </w:r>
      <w:r>
        <w:t xml:space="preserve"> [1, 2, 6, 9]</w:t>
      </w:r>
      <w:r>
        <w:t>.</w:t>
      </w:r>
    </w:p>
    <w:p w14:paraId="B3010000">
      <w:pPr>
        <w:widowControl w:val="1"/>
        <w:ind w:firstLine="0" w:left="709"/>
        <w:contextualSpacing w:val="1"/>
        <w:rPr>
          <w:b w:val="1"/>
        </w:rPr>
      </w:pPr>
      <w:r>
        <w:rPr>
          <w:b w:val="1"/>
        </w:rPr>
        <w:t xml:space="preserve">Уровень убедительности рекомендаций </w:t>
      </w:r>
      <w:r>
        <w:rPr>
          <w:b w:val="1"/>
        </w:rPr>
        <w:t>A</w:t>
      </w:r>
      <w:r>
        <w:rPr>
          <w:b w:val="1"/>
        </w:rPr>
        <w:t xml:space="preserve"> (уровень достоверности доказательств – </w:t>
      </w:r>
      <w:r>
        <w:rPr>
          <w:b w:val="1"/>
        </w:rPr>
        <w:t>1</w:t>
      </w:r>
      <w:r>
        <w:rPr>
          <w:b w:val="1"/>
        </w:rPr>
        <w:t>)</w:t>
      </w:r>
    </w:p>
    <w:p w14:paraId="B4010000">
      <w:pPr>
        <w:pStyle w:val="Style_22"/>
        <w:rPr>
          <w:b w:val="1"/>
        </w:rPr>
      </w:pPr>
      <w:r>
        <w:rPr>
          <w:b w:val="1"/>
        </w:rPr>
        <w:t>Комментарии:</w:t>
      </w:r>
    </w:p>
    <w:p w14:paraId="B5010000">
      <w:pPr>
        <w:pStyle w:val="Style_22"/>
        <w:widowControl w:val="1"/>
        <w:ind w:firstLine="709" w:left="0"/>
      </w:pPr>
      <w:r>
        <w:rPr>
          <w:b w:val="1"/>
        </w:rPr>
        <w:t>Рекомендуется соблюдать следующие о</w:t>
      </w:r>
      <w:r>
        <w:rPr>
          <w:b w:val="1"/>
        </w:rPr>
        <w:t>собенности препарирования полост</w:t>
      </w:r>
      <w:r>
        <w:rPr>
          <w:b w:val="1"/>
        </w:rPr>
        <w:t>ей</w:t>
      </w:r>
      <w:r>
        <w:rPr>
          <w:b w:val="1"/>
        </w:rPr>
        <w:t xml:space="preserve"> класса I: </w:t>
      </w:r>
      <w:r>
        <w:t>для</w:t>
      </w:r>
      <w:r>
        <w:rPr>
          <w:b w:val="1"/>
        </w:rPr>
        <w:t xml:space="preserve"> </w:t>
      </w:r>
      <w:r>
        <w:t>максимально</w:t>
      </w:r>
      <w:r>
        <w:t>го</w:t>
      </w:r>
      <w:r>
        <w:t xml:space="preserve"> сохранени</w:t>
      </w:r>
      <w:r>
        <w:t>я</w:t>
      </w:r>
      <w:r>
        <w:t xml:space="preserve"> бугров на окклюзионной поверхности перед препарированием</w:t>
      </w:r>
      <w:r>
        <w:t xml:space="preserve"> рекомендуется выявить участки эмали, несущие основную окклюзионную нагрузку,</w:t>
      </w:r>
      <w:r>
        <w:t xml:space="preserve"> с помощью артикуляционной бумаги. Бугры снимают частично или полностью, если скат бугра поврежден на 1/2 его длины. Препарирование</w:t>
      </w:r>
      <w:r>
        <w:t>,</w:t>
      </w:r>
      <w:r>
        <w:t xml:space="preserve"> по возможности</w:t>
      </w:r>
      <w:r>
        <w:t>,</w:t>
      </w:r>
      <w:r>
        <w:t xml:space="preserve"> проводят в контурах естественных фиссур.</w:t>
      </w:r>
    </w:p>
    <w:p w14:paraId="B6010000">
      <w:pPr>
        <w:pStyle w:val="Style_22"/>
        <w:widowControl w:val="1"/>
        <w:ind w:firstLine="709" w:left="0"/>
      </w:pPr>
      <w:r>
        <w:rPr>
          <w:b w:val="1"/>
        </w:rPr>
        <w:t>Рекомендуется соблюдать следующие о</w:t>
      </w:r>
      <w:r>
        <w:rPr>
          <w:b w:val="1"/>
        </w:rPr>
        <w:t>собенности препарирования полост</w:t>
      </w:r>
      <w:r>
        <w:rPr>
          <w:b w:val="1"/>
        </w:rPr>
        <w:t>ей</w:t>
      </w:r>
      <w:r>
        <w:rPr>
          <w:b w:val="1"/>
        </w:rPr>
        <w:t xml:space="preserve"> класса </w:t>
      </w:r>
      <w:r>
        <w:rPr>
          <w:b w:val="1"/>
        </w:rPr>
        <w:t>I</w:t>
      </w:r>
      <w:r>
        <w:rPr>
          <w:b w:val="1"/>
        </w:rPr>
        <w:t>I:</w:t>
      </w:r>
      <w:r>
        <w:t xml:space="preserve"> создание</w:t>
      </w:r>
      <w:r>
        <w:t xml:space="preserve"> доступ</w:t>
      </w:r>
      <w:r>
        <w:t>а</w:t>
      </w:r>
      <w:r>
        <w:t xml:space="preserve"> с окклюзионной поверхности</w:t>
      </w:r>
      <w:r>
        <w:t xml:space="preserve"> для</w:t>
      </w:r>
      <w:r>
        <w:t xml:space="preserve"> обеспеч</w:t>
      </w:r>
      <w:r>
        <w:t>ения</w:t>
      </w:r>
      <w:r>
        <w:t xml:space="preserve"> лучш</w:t>
      </w:r>
      <w:r>
        <w:t>его</w:t>
      </w:r>
      <w:r>
        <w:t xml:space="preserve"> обзор</w:t>
      </w:r>
      <w:r>
        <w:t>а</w:t>
      </w:r>
      <w:r>
        <w:t xml:space="preserve"> и инструментаци</w:t>
      </w:r>
      <w:r>
        <w:t>и</w:t>
      </w:r>
      <w:r>
        <w:t xml:space="preserve"> кариозной полости. Правильно сформированная контактная поверхность зуба должна иметь форму, близкую к сферической. Зона контакта между зубами должна располагаться в области экватора и чуть выше - как в интактных зубах.</w:t>
      </w:r>
      <w:r>
        <w:t xml:space="preserve"> Рекомендуется при небольших, расположенных в области или ниже экватора, полостях на апроксимальной поверхности зубов создание тоннельного доступа (тоннельное препарирование) с сохранением краевого гребня. Раскрытие полости проводят с жевательной поверхности, создавая окклюзионно-апроксимальный тоннель борами небольшого размера.</w:t>
      </w:r>
    </w:p>
    <w:p w14:paraId="B7010000">
      <w:pPr>
        <w:rPr>
          <w:i w:val="1"/>
        </w:rPr>
      </w:pPr>
      <w:r>
        <w:rPr>
          <w:b w:val="1"/>
          <w:i w:val="1"/>
        </w:rPr>
        <w:t>Рекомендуется соблюдать следующие особенности препарирования полостей класса I</w:t>
      </w:r>
      <w:r>
        <w:rPr>
          <w:b w:val="1"/>
          <w:i w:val="1"/>
        </w:rPr>
        <w:t>II:</w:t>
      </w:r>
      <w:r>
        <w:rPr>
          <w:i w:val="1"/>
        </w:rPr>
        <w:t xml:space="preserve"> создание </w:t>
      </w:r>
      <w:r>
        <w:rPr>
          <w:i w:val="1"/>
        </w:rPr>
        <w:t>прямо</w:t>
      </w:r>
      <w:r>
        <w:rPr>
          <w:i w:val="1"/>
        </w:rPr>
        <w:t>го</w:t>
      </w:r>
      <w:r>
        <w:rPr>
          <w:i w:val="1"/>
        </w:rPr>
        <w:t xml:space="preserve"> доступ</w:t>
      </w:r>
      <w:r>
        <w:rPr>
          <w:i w:val="1"/>
        </w:rPr>
        <w:t>а</w:t>
      </w:r>
      <w:r>
        <w:rPr>
          <w:i w:val="1"/>
        </w:rPr>
        <w:t xml:space="preserve"> в случае отсутствия рядом</w:t>
      </w:r>
      <w:r>
        <w:rPr>
          <w:i w:val="1"/>
        </w:rPr>
        <w:t xml:space="preserve"> </w:t>
      </w:r>
      <w:r>
        <w:rPr>
          <w:i w:val="1"/>
        </w:rPr>
        <w:t xml:space="preserve">стоящего зуба или при наличии отпрепарированной полости на смежной контактной поверхности соседнего зуба. </w:t>
      </w:r>
    </w:p>
    <w:p w14:paraId="B8010000">
      <w:pPr>
        <w:rPr>
          <w:i w:val="1"/>
        </w:rPr>
      </w:pPr>
      <w:r>
        <w:rPr>
          <w:i w:val="1"/>
        </w:rPr>
        <w:t xml:space="preserve">Рекомендуется отдавать предпочтение </w:t>
      </w:r>
      <w:r>
        <w:rPr>
          <w:i w:val="1"/>
        </w:rPr>
        <w:t>язычн</w:t>
      </w:r>
      <w:r>
        <w:rPr>
          <w:i w:val="1"/>
        </w:rPr>
        <w:t>ому</w:t>
      </w:r>
      <w:r>
        <w:rPr>
          <w:i w:val="1"/>
        </w:rPr>
        <w:t xml:space="preserve"> и небн</w:t>
      </w:r>
      <w:r>
        <w:rPr>
          <w:i w:val="1"/>
        </w:rPr>
        <w:t>ому</w:t>
      </w:r>
      <w:r>
        <w:rPr>
          <w:i w:val="1"/>
        </w:rPr>
        <w:t xml:space="preserve"> доступ</w:t>
      </w:r>
      <w:r>
        <w:rPr>
          <w:i w:val="1"/>
        </w:rPr>
        <w:t>ам</w:t>
      </w:r>
      <w:r>
        <w:rPr>
          <w:i w:val="1"/>
        </w:rPr>
        <w:t>,</w:t>
      </w:r>
      <w:r>
        <w:rPr>
          <w:i w:val="1"/>
        </w:rPr>
        <w:t xml:space="preserve"> что</w:t>
      </w:r>
      <w:r>
        <w:rPr>
          <w:i w:val="1"/>
        </w:rPr>
        <w:t xml:space="preserve"> позволяет сохранить вестибулярную поверхность эмали </w:t>
      </w:r>
      <w:r>
        <w:rPr>
          <w:i w:val="1"/>
        </w:rPr>
        <w:t>для достижения высокого эстетического результата</w:t>
      </w:r>
      <w:r>
        <w:rPr>
          <w:i w:val="1"/>
        </w:rPr>
        <w:t>. Допускается сохранение вестибулярной эмали, лишенной подлежащего дентина, если она не имеет трещин и признаков деминерализации.</w:t>
      </w:r>
    </w:p>
    <w:p w14:paraId="B9010000">
      <w:pPr>
        <w:rPr>
          <w:i w:val="1"/>
        </w:rPr>
      </w:pPr>
      <w:r>
        <w:rPr>
          <w:b w:val="1"/>
          <w:i w:val="1"/>
        </w:rPr>
        <w:t xml:space="preserve">Рекомендуется соблюдать следующие особенности препарирования полостей класса </w:t>
      </w:r>
      <w:r>
        <w:rPr>
          <w:b w:val="1"/>
          <w:i w:val="1"/>
        </w:rPr>
        <w:t>IV:</w:t>
      </w:r>
      <w:r>
        <w:rPr>
          <w:i w:val="1"/>
        </w:rPr>
        <w:t xml:space="preserve"> </w:t>
      </w:r>
      <w:r>
        <w:rPr>
          <w:i w:val="1"/>
        </w:rPr>
        <w:t xml:space="preserve">формирование широкого фальца, в некоторых случаях </w:t>
      </w:r>
      <w:r>
        <w:rPr>
          <w:i w:val="1"/>
        </w:rPr>
        <w:t xml:space="preserve">– </w:t>
      </w:r>
      <w:r>
        <w:rPr>
          <w:i w:val="1"/>
        </w:rPr>
        <w:t xml:space="preserve">дополнительной площадки на язычной или небной поверхности, создание ретенционной формы, так как адгезии композитных материалов </w:t>
      </w:r>
      <w:r>
        <w:rPr>
          <w:i w:val="1"/>
        </w:rPr>
        <w:t>может быть</w:t>
      </w:r>
      <w:r>
        <w:rPr>
          <w:i w:val="1"/>
        </w:rPr>
        <w:t xml:space="preserve"> недостаточно.</w:t>
      </w:r>
    </w:p>
    <w:p w14:paraId="BA010000">
      <w:pPr>
        <w:pStyle w:val="Style_22"/>
        <w:widowControl w:val="1"/>
        <w:ind w:firstLine="709" w:left="0"/>
      </w:pPr>
      <w:r>
        <w:rPr>
          <w:b w:val="1"/>
        </w:rPr>
        <w:t xml:space="preserve">Рекомендуется соблюдать следующие особенности препарирования полостей класса </w:t>
      </w:r>
      <w:r>
        <w:rPr>
          <w:b w:val="1"/>
        </w:rPr>
        <w:t>V:</w:t>
      </w:r>
      <w:r>
        <w:t xml:space="preserve"> препарирование кариозной полости округлой формы с ретенционными зонами или без них, если полость очень мала</w:t>
      </w:r>
      <w:r>
        <w:t xml:space="preserve">; </w:t>
      </w:r>
      <w:r>
        <w:t>применение ретракционных нитей с целью ретракции десневого края</w:t>
      </w:r>
      <w:r>
        <w:t xml:space="preserve">; </w:t>
      </w:r>
      <w:r>
        <w:t>при необходимости коррекция (иссечение) слизистой оболочки десневого края для раскрытия операционного поля и удаление участка гипертрофированной десны</w:t>
      </w:r>
      <w:r>
        <w:t xml:space="preserve"> (</w:t>
      </w:r>
      <w:r>
        <w:t xml:space="preserve">проводят в два посещения </w:t>
      </w:r>
      <w:r>
        <w:t>–</w:t>
      </w:r>
      <w:r>
        <w:t xml:space="preserve"> в</w:t>
      </w:r>
      <w:r>
        <w:t xml:space="preserve"> </w:t>
      </w:r>
      <w:r>
        <w:t>1</w:t>
      </w:r>
      <w:r>
        <w:t>-ое</w:t>
      </w:r>
      <w:r>
        <w:t xml:space="preserve"> посещение после хирургического вмешательства полость закрывают временной пломбой из масляного дентина до заживления десневого края, во 2</w:t>
      </w:r>
      <w:r>
        <w:t>-ое</w:t>
      </w:r>
      <w:r>
        <w:t xml:space="preserve"> посещение</w:t>
      </w:r>
      <w:r>
        <w:t xml:space="preserve"> –</w:t>
      </w:r>
      <w:r>
        <w:t xml:space="preserve"> пломбирование).</w:t>
      </w:r>
    </w:p>
    <w:p w14:paraId="BB010000">
      <w:pPr>
        <w:pStyle w:val="Style_22"/>
        <w:widowControl w:val="1"/>
        <w:ind w:firstLine="709" w:left="0"/>
      </w:pPr>
      <w:r>
        <w:rPr>
          <w:b w:val="1"/>
        </w:rPr>
        <w:t xml:space="preserve">Рекомендуется соблюдать следующие особенности препарирования полостей класса </w:t>
      </w:r>
      <w:r>
        <w:rPr>
          <w:b w:val="1"/>
        </w:rPr>
        <w:t>VI</w:t>
      </w:r>
      <w:r>
        <w:rPr>
          <w:b w:val="1"/>
        </w:rPr>
        <w:t>:</w:t>
      </w:r>
      <w:r>
        <w:t xml:space="preserve"> </w:t>
      </w:r>
      <w:r>
        <w:t>щадящее удаление пораженных тканей</w:t>
      </w:r>
      <w:r>
        <w:t xml:space="preserve"> с</w:t>
      </w:r>
      <w:r>
        <w:t xml:space="preserve"> </w:t>
      </w:r>
      <w:r>
        <w:t>в</w:t>
      </w:r>
      <w:r>
        <w:t>озможн</w:t>
      </w:r>
      <w:r>
        <w:t>ым</w:t>
      </w:r>
      <w:r>
        <w:t xml:space="preserve"> сохранение</w:t>
      </w:r>
      <w:r>
        <w:t>м</w:t>
      </w:r>
      <w:r>
        <w:t xml:space="preserve"> эмали, лишенной подлежащего дентина, что </w:t>
      </w:r>
      <w:r>
        <w:t>возможно в связи</w:t>
      </w:r>
      <w:r>
        <w:t xml:space="preserve"> с достаточно</w:t>
      </w:r>
      <w:r>
        <w:t>й</w:t>
      </w:r>
      <w:r>
        <w:t xml:space="preserve"> толщиной слоя эмали</w:t>
      </w:r>
      <w:r>
        <w:t xml:space="preserve"> в</w:t>
      </w:r>
      <w:r>
        <w:t xml:space="preserve"> области бугров моляров.</w:t>
      </w:r>
    </w:p>
    <w:p w14:paraId="BC010000">
      <w:pPr>
        <w:pStyle w:val="Style_21"/>
        <w:widowControl w:val="1"/>
        <w:tabs>
          <w:tab w:leader="none" w:pos="0" w:val="left"/>
          <w:tab w:leader="none" w:pos="360" w:val="clear"/>
        </w:tabs>
        <w:ind w:firstLine="0" w:left="0"/>
      </w:pPr>
      <w:r>
        <w:t xml:space="preserve">Рекомендуется </w:t>
      </w:r>
      <w:r>
        <w:t xml:space="preserve">для лечения по поводу </w:t>
      </w:r>
      <w:r>
        <w:rPr>
          <w:i w:val="1"/>
        </w:rPr>
        <w:t>кариеса дентина</w:t>
      </w:r>
      <w:r>
        <w:t xml:space="preserve"> (К02.1)</w:t>
      </w:r>
      <w:r>
        <w:t xml:space="preserve"> пациентов с ограниченными физическими и психическими возможностями, а также пациентов, испытывающих непреодолимый страх перед стоматологическим лечением </w:t>
      </w:r>
      <w:r>
        <w:t xml:space="preserve">проводить </w:t>
      </w:r>
      <w:r>
        <w:t xml:space="preserve">лечение с использованием особого атравматического </w:t>
      </w:r>
      <w:r>
        <w:rPr>
          <w:i w:val="1"/>
        </w:rPr>
        <w:t>химико-механического метода</w:t>
      </w:r>
      <w:r>
        <w:t>, основанного на удалении размягченного дентина с помощью химических агентов и ручных инструментов с последующим восстановление</w:t>
      </w:r>
      <w:r>
        <w:t>м</w:t>
      </w:r>
      <w:r>
        <w:t xml:space="preserve"> зуба </w:t>
      </w:r>
      <w:r>
        <w:t>стеклоиономерным цементом. Преимущества метода: щадящая безболезненная, не требу</w:t>
      </w:r>
      <w:r>
        <w:t>ет</w:t>
      </w:r>
      <w:r>
        <w:t xml:space="preserve"> местной анестезии, процедура с упрощенным контролем инфекции; высокая экономическая эффективность и доступность</w:t>
      </w:r>
      <w:r>
        <w:t xml:space="preserve"> [</w:t>
      </w:r>
      <w:r>
        <w:t>201-210</w:t>
      </w:r>
      <w:r>
        <w:t>]</w:t>
      </w:r>
      <w:r>
        <w:t>.</w:t>
      </w:r>
    </w:p>
    <w:p w14:paraId="BD010000">
      <w:pPr>
        <w:pStyle w:val="Style_23"/>
      </w:pPr>
      <w:r>
        <w:t xml:space="preserve">Уровень убедительности рекомендаций </w:t>
      </w:r>
      <w:r>
        <w:t>A</w:t>
      </w:r>
      <w:r>
        <w:t xml:space="preserve"> (уровень достоверности доказательств – </w:t>
      </w:r>
      <w:r>
        <w:t>1</w:t>
      </w:r>
      <w:r>
        <w:t>)</w:t>
      </w:r>
    </w:p>
    <w:p w14:paraId="BE010000">
      <w:pPr>
        <w:pStyle w:val="Style_21"/>
      </w:pPr>
      <w:r>
        <w:t xml:space="preserve">Рекомендуется пациенту </w:t>
      </w:r>
      <w:r>
        <w:rPr>
          <w:i w:val="1"/>
        </w:rPr>
        <w:t>с кариесом дентина (К02.1)</w:t>
      </w:r>
      <w:r>
        <w:rPr>
          <w:i w:val="1"/>
        </w:rPr>
        <w:t xml:space="preserve"> </w:t>
      </w:r>
      <w:r>
        <w:rPr>
          <w:i w:val="1"/>
        </w:rPr>
        <w:t xml:space="preserve">после классического препарирования и формирования кариозной полости </w:t>
      </w:r>
      <w:r>
        <w:t xml:space="preserve">проведение </w:t>
      </w:r>
      <w:r>
        <w:t xml:space="preserve">ее </w:t>
      </w:r>
      <w:r>
        <w:t xml:space="preserve">антисептической </w:t>
      </w:r>
      <w:r>
        <w:t xml:space="preserve">обработки </w:t>
      </w:r>
      <w:r>
        <w:t>медикаментозными средствами и/или</w:t>
      </w:r>
      <w:r>
        <w:t xml:space="preserve"> с использованием физических факторов ( лазер</w:t>
      </w:r>
      <w:r>
        <w:t xml:space="preserve">, </w:t>
      </w:r>
      <w:r>
        <w:t>озон и т</w:t>
      </w:r>
      <w:r>
        <w:t>.</w:t>
      </w:r>
      <w:r>
        <w:t xml:space="preserve">д) </w:t>
      </w:r>
      <w:r>
        <w:t>[</w:t>
      </w:r>
      <w:r>
        <w:t xml:space="preserve">1, 2, </w:t>
      </w:r>
      <w:r>
        <w:t>221</w:t>
      </w:r>
      <w:r>
        <w:t>]</w:t>
      </w:r>
      <w:r>
        <w:t>.</w:t>
      </w:r>
    </w:p>
    <w:p w14:paraId="BF010000">
      <w:pPr>
        <w:pStyle w:val="Style_22"/>
        <w:widowControl w:val="1"/>
        <w:ind w:left="1134"/>
      </w:pPr>
      <w:r>
        <w:t>Хлоргексидина биглюконат</w:t>
      </w:r>
      <w:r>
        <w:rPr>
          <w:i w:val="0"/>
        </w:rPr>
        <w:t xml:space="preserve"> (0,5-2% водный р-р) </w:t>
      </w:r>
      <w:r>
        <w:rPr>
          <w:i w:val="0"/>
        </w:rPr>
        <w:t>(</w:t>
      </w:r>
      <w:r>
        <w:rPr>
          <w:i w:val="0"/>
        </w:rPr>
        <w:t xml:space="preserve">АХТ </w:t>
      </w:r>
      <w:r>
        <w:rPr>
          <w:i w:val="0"/>
        </w:rPr>
        <w:t>-</w:t>
      </w:r>
      <w:r>
        <w:rPr>
          <w:rStyle w:val="Style_26_ch"/>
        </w:rPr>
        <w:fldChar w:fldCharType="begin"/>
      </w:r>
      <w:r>
        <w:rPr>
          <w:rStyle w:val="Style_26_ch"/>
        </w:rPr>
        <w:instrText>HYPERLINK "https://www.vidal.ru/drugs/atc/d08ac52"</w:instrText>
      </w:r>
      <w:r>
        <w:rPr>
          <w:rStyle w:val="Style_26_ch"/>
        </w:rPr>
        <w:fldChar w:fldCharType="separate"/>
      </w:r>
      <w:r>
        <w:rPr>
          <w:rStyle w:val="Style_26_ch"/>
        </w:rPr>
        <w:t>D08AC52</w:t>
      </w:r>
      <w:r>
        <w:rPr>
          <w:rStyle w:val="Style_26_ch"/>
        </w:rPr>
        <w:fldChar w:fldCharType="end"/>
      </w:r>
      <w:r>
        <w:t>)</w:t>
      </w:r>
    </w:p>
    <w:p w14:paraId="C0010000">
      <w:pPr>
        <w:pStyle w:val="Style_22"/>
        <w:widowControl w:val="1"/>
        <w:ind w:left="1134"/>
        <w:rPr>
          <w:i w:val="0"/>
        </w:rPr>
      </w:pPr>
      <w:r>
        <w:t xml:space="preserve">Гипохлорита натрия  (0,5 % раствор) </w:t>
      </w:r>
      <w:r>
        <w:t>[1, 2, 6, 9]</w:t>
      </w:r>
      <w:r>
        <w:t>.</w:t>
      </w:r>
    </w:p>
    <w:p w14:paraId="C1010000">
      <w:pPr>
        <w:pStyle w:val="Style_23"/>
      </w:pPr>
      <w:r>
        <w:t>Уровень убедительности рекомендаций A (уровень достоверности доказательств – 1)</w:t>
      </w:r>
    </w:p>
    <w:p w14:paraId="C2010000">
      <w:pPr>
        <w:pStyle w:val="Style_22"/>
        <w:widowControl w:val="1"/>
        <w:ind w:firstLine="142" w:left="0"/>
        <w:rPr>
          <w:i w:val="0"/>
        </w:rPr>
      </w:pPr>
      <w:r>
        <w:t>Возможно и</w:t>
      </w:r>
      <w:r>
        <w:t>спользование у</w:t>
      </w:r>
      <w:r>
        <w:t>льтразвук</w:t>
      </w:r>
      <w:r>
        <w:t>а</w:t>
      </w:r>
      <w:r>
        <w:t xml:space="preserve"> в сочетании с антисептическими растворами</w:t>
      </w:r>
      <w:r>
        <w:rPr>
          <w:i w:val="0"/>
        </w:rPr>
        <w:t xml:space="preserve"> для </w:t>
      </w:r>
      <w:r>
        <w:rPr>
          <w:i w:val="0"/>
        </w:rPr>
        <w:t xml:space="preserve">антибактериальной </w:t>
      </w:r>
      <w:r>
        <w:rPr>
          <w:i w:val="0"/>
        </w:rPr>
        <w:t xml:space="preserve">обработки </w:t>
      </w:r>
      <w:r>
        <w:rPr>
          <w:i w:val="0"/>
        </w:rPr>
        <w:t>отпрепарированной и сформированной полости и удаления «смазанного слоя» дентина (в процессе подготовки к пломбированию). Рекомендуется использовать</w:t>
      </w:r>
      <w:r>
        <w:rPr>
          <w:i w:val="0"/>
        </w:rPr>
        <w:t xml:space="preserve"> алмазные ультразвуковые насадки, </w:t>
      </w:r>
      <w:r>
        <w:rPr>
          <w:i w:val="0"/>
        </w:rPr>
        <w:t xml:space="preserve">а </w:t>
      </w:r>
      <w:r>
        <w:rPr>
          <w:i w:val="0"/>
        </w:rPr>
        <w:t xml:space="preserve">в качестве </w:t>
      </w:r>
      <w:r>
        <w:rPr>
          <w:i w:val="0"/>
        </w:rPr>
        <w:t>антисептической</w:t>
      </w:r>
      <w:r>
        <w:rPr>
          <w:i w:val="0"/>
        </w:rPr>
        <w:t xml:space="preserve"> жидкости</w:t>
      </w:r>
      <w:r>
        <w:rPr>
          <w:i w:val="0"/>
        </w:rPr>
        <w:t xml:space="preserve"> </w:t>
      </w:r>
      <w:r>
        <w:rPr>
          <w:i w:val="0"/>
        </w:rPr>
        <w:t>–</w:t>
      </w:r>
      <w:r>
        <w:rPr>
          <w:i w:val="0"/>
        </w:rPr>
        <w:t xml:space="preserve"> </w:t>
      </w:r>
      <w:r>
        <w:rPr>
          <w:i w:val="0"/>
        </w:rPr>
        <w:t xml:space="preserve">1,0-1,5% </w:t>
      </w:r>
      <w:r>
        <w:rPr>
          <w:i w:val="0"/>
        </w:rPr>
        <w:t xml:space="preserve">перекись водорода </w:t>
      </w:r>
      <w:r>
        <w:rPr>
          <w:i w:val="0"/>
        </w:rPr>
        <w:t>(</w:t>
      </w:r>
      <w:r>
        <w:rPr>
          <w:i w:val="0"/>
        </w:rPr>
        <w:t>антибактериальный эффект</w:t>
      </w:r>
      <w:r>
        <w:rPr>
          <w:i w:val="0"/>
        </w:rPr>
        <w:t>)</w:t>
      </w:r>
      <w:r>
        <w:rPr>
          <w:i w:val="0"/>
        </w:rPr>
        <w:t xml:space="preserve"> </w:t>
      </w:r>
      <w:r>
        <w:rPr>
          <w:i w:val="0"/>
        </w:rPr>
        <w:t xml:space="preserve">или растворы гипохлорита натрия и ЭДТА </w:t>
      </w:r>
      <w:r>
        <w:rPr>
          <w:i w:val="0"/>
        </w:rPr>
        <w:t>в малых концентрациях</w:t>
      </w:r>
      <w:r>
        <w:rPr>
          <w:i w:val="0"/>
        </w:rPr>
        <w:t xml:space="preserve"> 0,5 % </w:t>
      </w:r>
      <w:r>
        <w:rPr>
          <w:i w:val="0"/>
        </w:rPr>
        <w:t>(</w:t>
      </w:r>
      <w:r>
        <w:rPr>
          <w:i w:val="0"/>
        </w:rPr>
        <w:t>для удаления «смазанного слоя»</w:t>
      </w:r>
      <w:r>
        <w:rPr>
          <w:i w:val="0"/>
        </w:rPr>
        <w:t>)</w:t>
      </w:r>
      <w:r>
        <w:rPr>
          <w:i w:val="0"/>
        </w:rPr>
        <w:t xml:space="preserve"> [221]</w:t>
      </w:r>
      <w:r>
        <w:rPr>
          <w:i w:val="0"/>
        </w:rPr>
        <w:t>.</w:t>
      </w:r>
      <w:r>
        <w:rPr>
          <w:i w:val="0"/>
        </w:rPr>
        <w:t xml:space="preserve"> </w:t>
      </w:r>
    </w:p>
    <w:p w14:paraId="C3010000">
      <w:pPr>
        <w:pStyle w:val="Style_23"/>
      </w:pPr>
      <w:r>
        <w:t xml:space="preserve">Уровень убедительности </w:t>
      </w:r>
      <w:r>
        <w:t>B</w:t>
      </w:r>
      <w:r>
        <w:t xml:space="preserve"> (уровень достоверности доказательств – 2)</w:t>
      </w:r>
    </w:p>
    <w:p w14:paraId="C4010000">
      <w:pPr>
        <w:pStyle w:val="Style_21"/>
      </w:pPr>
      <w:r>
        <w:t xml:space="preserve">Рекомендуется </w:t>
      </w:r>
      <w:r>
        <w:t xml:space="preserve">пациенту с </w:t>
      </w:r>
      <w:r>
        <w:rPr>
          <w:i w:val="1"/>
        </w:rPr>
        <w:t xml:space="preserve">кариесом дентина (К02.1) </w:t>
      </w:r>
      <w:r>
        <w:t>после этапа препарирования</w:t>
      </w:r>
      <w:r>
        <w:rPr>
          <w:i w:val="1"/>
        </w:rPr>
        <w:t xml:space="preserve"> </w:t>
      </w:r>
      <w:r>
        <w:t xml:space="preserve">провести оценку степени разрушения коронки зуба по индексу разрушения окклюзионной поверхности зуба (ИРОПЗ) </w:t>
      </w:r>
      <w:r>
        <w:t xml:space="preserve">для выбора </w:t>
      </w:r>
      <w:r>
        <w:t xml:space="preserve">оптимального </w:t>
      </w:r>
      <w:r>
        <w:t>метода восстановления</w:t>
      </w:r>
      <w:r>
        <w:t xml:space="preserve"> </w:t>
      </w:r>
      <w:r>
        <w:t>анатомической формы.</w:t>
      </w:r>
      <w:r>
        <w:t xml:space="preserve"> М</w:t>
      </w:r>
      <w:r>
        <w:t>етод</w:t>
      </w:r>
      <w:r>
        <w:t xml:space="preserve"> пломбирования </w:t>
      </w:r>
      <w:r>
        <w:t xml:space="preserve">рекомендуется использовать для </w:t>
      </w:r>
      <w:r>
        <w:t>восстановления</w:t>
      </w:r>
      <w:r>
        <w:t xml:space="preserve"> коронки зуба при степени ее кариозного разрушения, соответствующе</w:t>
      </w:r>
      <w:r>
        <w:t>й</w:t>
      </w:r>
      <w:r>
        <w:t xml:space="preserve"> индексу</w:t>
      </w:r>
      <w:r>
        <w:t xml:space="preserve"> ИРОПЗ</w:t>
      </w:r>
      <w:r>
        <w:t>=</w:t>
      </w:r>
      <w:r>
        <w:t>0,2-0,4.</w:t>
      </w:r>
      <w:r>
        <w:t xml:space="preserve"> Восстановление</w:t>
      </w:r>
      <w:r>
        <w:t xml:space="preserve"> коронк</w:t>
      </w:r>
      <w:r>
        <w:t>и зуба</w:t>
      </w:r>
      <w:r>
        <w:t xml:space="preserve"> </w:t>
      </w:r>
      <w:r>
        <w:t>ортопедическими (</w:t>
      </w:r>
      <w:r>
        <w:t>протетическими</w:t>
      </w:r>
      <w:r>
        <w:t>)</w:t>
      </w:r>
      <w:r>
        <w:t xml:space="preserve"> конструкциями </w:t>
      </w:r>
      <w:r>
        <w:t xml:space="preserve">показано </w:t>
      </w:r>
      <w:r>
        <w:t xml:space="preserve">при </w:t>
      </w:r>
      <w:r>
        <w:t>индексе</w:t>
      </w:r>
      <w:r>
        <w:t xml:space="preserve"> ИРОПЗ более 0,4: изготовление вкладок</w:t>
      </w:r>
      <w:r>
        <w:t xml:space="preserve"> (из металла, керамики, комп</w:t>
      </w:r>
      <w:r>
        <w:t>о</w:t>
      </w:r>
      <w:r>
        <w:t>зитных материалов)</w:t>
      </w:r>
      <w:r>
        <w:t xml:space="preserve"> </w:t>
      </w:r>
      <w:r>
        <w:t xml:space="preserve">– </w:t>
      </w:r>
      <w:r>
        <w:t xml:space="preserve">при </w:t>
      </w:r>
      <w:r>
        <w:t>0,4</w:t>
      </w:r>
      <w:r>
        <w:t>&lt;</w:t>
      </w:r>
      <w:r>
        <w:t>ИРОПЗ</w:t>
      </w:r>
      <w:r>
        <w:t>&lt;0,6</w:t>
      </w:r>
      <w:r>
        <w:rPr>
          <w:rStyle w:val="Style_27_ch"/>
        </w:rPr>
        <w:t xml:space="preserve">; </w:t>
      </w:r>
      <w:r>
        <w:rPr>
          <w:rStyle w:val="Style_27_ch"/>
        </w:rPr>
        <w:t xml:space="preserve">изготовление искусственных коронок – </w:t>
      </w:r>
      <w:r>
        <w:rPr>
          <w:rStyle w:val="Style_27_ch"/>
        </w:rPr>
        <w:t xml:space="preserve">при </w:t>
      </w:r>
      <w:r>
        <w:rPr>
          <w:rStyle w:val="Style_27_ch"/>
        </w:rPr>
        <w:t>0,6</w:t>
      </w:r>
      <w:r>
        <w:rPr>
          <w:rStyle w:val="Style_27_ch"/>
        </w:rPr>
        <w:t> </w:t>
      </w:r>
      <w:r>
        <w:rPr>
          <w:rStyle w:val="Style_27_ch"/>
        </w:rPr>
        <w:t>&lt;</w:t>
      </w:r>
      <w:r>
        <w:rPr>
          <w:rStyle w:val="Style_27_ch"/>
        </w:rPr>
        <w:t> </w:t>
      </w:r>
      <w:r>
        <w:rPr>
          <w:rStyle w:val="Style_27_ch"/>
        </w:rPr>
        <w:t>ИРОПЗ</w:t>
      </w:r>
      <w:r>
        <w:rPr>
          <w:rStyle w:val="Style_27_ch"/>
        </w:rPr>
        <w:t> </w:t>
      </w:r>
      <w:r>
        <w:rPr>
          <w:rStyle w:val="Style_27_ch"/>
        </w:rPr>
        <w:t>&lt;</w:t>
      </w:r>
      <w:r>
        <w:rPr>
          <w:rStyle w:val="Style_27_ch"/>
        </w:rPr>
        <w:t> </w:t>
      </w:r>
      <w:r>
        <w:rPr>
          <w:rStyle w:val="Style_27_ch"/>
        </w:rPr>
        <w:t xml:space="preserve">0,8; </w:t>
      </w:r>
      <w:r>
        <w:rPr>
          <w:b w:val="1"/>
        </w:rPr>
        <w:t xml:space="preserve">Уровень убедительности </w:t>
      </w:r>
      <w:r>
        <w:rPr>
          <w:b w:val="1"/>
        </w:rPr>
        <w:t>B</w:t>
      </w:r>
      <w:r>
        <w:rPr>
          <w:b w:val="1"/>
        </w:rPr>
        <w:t xml:space="preserve"> (уровень достоверности доказательств – 2) </w:t>
      </w:r>
    </w:p>
    <w:p w14:paraId="C5010000">
      <w:pPr>
        <w:pStyle w:val="Style_21"/>
      </w:pPr>
      <w:r>
        <w:t xml:space="preserve">Рекомендуется пациенту с кариесом дентина с незначительным разрушением коронки по уровню индекса ИРОПЗ (0,2-0,4) проводить пломбирование полости прямым способом. Выбор </w:t>
      </w:r>
      <w:r>
        <w:t xml:space="preserve">пломбировочного / реставрационного материала </w:t>
      </w:r>
      <w:r>
        <w:t>и</w:t>
      </w:r>
      <w:r>
        <w:t xml:space="preserve"> </w:t>
      </w:r>
      <w:r>
        <w:t xml:space="preserve">методики </w:t>
      </w:r>
      <w:r>
        <w:t>пломбировани</w:t>
      </w:r>
      <w:r>
        <w:t xml:space="preserve">я </w:t>
      </w:r>
      <w:r>
        <w:t>проводить с учетом анатомо-топографических особенностей кариозной полости, групповой принадлежности зуба</w:t>
      </w:r>
      <w:r>
        <w:t xml:space="preserve">, </w:t>
      </w:r>
      <w:r>
        <w:t xml:space="preserve">состояния </w:t>
      </w:r>
      <w:r>
        <w:t xml:space="preserve">стоматологического и системного статуса пациента, </w:t>
      </w:r>
      <w:r>
        <w:t xml:space="preserve">его </w:t>
      </w:r>
      <w:r>
        <w:t>фармакологического анамнеза</w:t>
      </w:r>
      <w:r>
        <w:t xml:space="preserve"> и</w:t>
      </w:r>
      <w:r>
        <w:t xml:space="preserve"> предпочтений </w:t>
      </w:r>
      <w:r>
        <w:t xml:space="preserve"> [2, 6-8, </w:t>
      </w:r>
      <w:r>
        <w:t>232</w:t>
      </w:r>
      <w:r>
        <w:t>]</w:t>
      </w:r>
      <w:r>
        <w:t>.</w:t>
      </w:r>
    </w:p>
    <w:p w14:paraId="C6010000">
      <w:pPr>
        <w:pStyle w:val="Style_23"/>
      </w:pPr>
      <w:r>
        <w:t xml:space="preserve">Уровень убедительности </w:t>
      </w:r>
      <w:r>
        <w:t>B</w:t>
      </w:r>
      <w:r>
        <w:t xml:space="preserve"> (уровень достоверности доказательств – </w:t>
      </w:r>
      <w:r>
        <w:t>2</w:t>
      </w:r>
      <w:r>
        <w:t xml:space="preserve">) </w:t>
      </w:r>
    </w:p>
    <w:p w14:paraId="C7010000">
      <w:pPr>
        <w:pStyle w:val="Style_22"/>
        <w:rPr>
          <w:b w:val="1"/>
        </w:rPr>
      </w:pPr>
      <w:r>
        <w:rPr>
          <w:b w:val="1"/>
        </w:rPr>
        <w:t>Комментарии:</w:t>
      </w:r>
    </w:p>
    <w:p w14:paraId="C8010000">
      <w:pPr>
        <w:pStyle w:val="Style_22"/>
        <w:widowControl w:val="1"/>
        <w:ind w:firstLine="709" w:left="0"/>
      </w:pPr>
      <w:r>
        <w:rPr>
          <w:b w:val="1"/>
        </w:rPr>
        <w:t>Особенности пломбирования полости класса II:</w:t>
      </w:r>
      <w:r>
        <w:t xml:space="preserve"> р</w:t>
      </w:r>
      <w:r>
        <w:t>екомендуется использование матричных</w:t>
      </w:r>
      <w:r>
        <w:t xml:space="preserve"> систем</w:t>
      </w:r>
      <w:r>
        <w:t>, межзубных</w:t>
      </w:r>
      <w:r>
        <w:t xml:space="preserve"> клинь</w:t>
      </w:r>
      <w:r>
        <w:t>ев для</w:t>
      </w:r>
      <w:r>
        <w:t xml:space="preserve"> оптимального прилегания </w:t>
      </w:r>
      <w:r>
        <w:t xml:space="preserve">реставрационного </w:t>
      </w:r>
      <w:r>
        <w:t>материала к десневой стенке, предотвращ</w:t>
      </w:r>
      <w:r>
        <w:t>ения</w:t>
      </w:r>
      <w:r>
        <w:t xml:space="preserve"> избыточно</w:t>
      </w:r>
      <w:r>
        <w:t>го</w:t>
      </w:r>
      <w:r>
        <w:t xml:space="preserve"> выведения материала в </w:t>
      </w:r>
      <w:r>
        <w:t xml:space="preserve">область десневой стенки полости (создания "нависающего края"). </w:t>
      </w:r>
      <w:r>
        <w:t xml:space="preserve"> Ф</w:t>
      </w:r>
      <w:r>
        <w:t xml:space="preserve">ормирование контактного ската краевого гребня </w:t>
      </w:r>
      <w:r>
        <w:t xml:space="preserve">осуществлять </w:t>
      </w:r>
      <w:r>
        <w:t>с помощью абразивных полосок (штрипс) или дисков</w:t>
      </w:r>
      <w:r>
        <w:t xml:space="preserve"> для</w:t>
      </w:r>
      <w:r>
        <w:t xml:space="preserve"> предотвращ</w:t>
      </w:r>
      <w:r>
        <w:t>ения</w:t>
      </w:r>
      <w:r>
        <w:t xml:space="preserve"> скол</w:t>
      </w:r>
      <w:r>
        <w:t>ов</w:t>
      </w:r>
      <w:r>
        <w:t xml:space="preserve"> материала и застревани</w:t>
      </w:r>
      <w:r>
        <w:t>я</w:t>
      </w:r>
      <w:r>
        <w:t xml:space="preserve"> пищи.</w:t>
      </w:r>
    </w:p>
    <w:p w14:paraId="C9010000">
      <w:pPr>
        <w:pStyle w:val="Style_22"/>
        <w:widowControl w:val="1"/>
        <w:ind w:firstLine="709" w:left="0"/>
      </w:pPr>
      <w:r>
        <w:rPr>
          <w:b w:val="1"/>
        </w:rPr>
        <w:t xml:space="preserve">Особенности пломбирования </w:t>
      </w:r>
      <w:r>
        <w:t>п</w:t>
      </w:r>
      <w:r>
        <w:rPr>
          <w:rStyle w:val="Style_25_ch"/>
          <w:i w:val="0"/>
        </w:rPr>
        <w:t>олости класса</w:t>
      </w:r>
      <w:r>
        <w:rPr>
          <w:rStyle w:val="Style_25_ch"/>
          <w:b w:val="0"/>
          <w:i w:val="0"/>
        </w:rPr>
        <w:t xml:space="preserve"> </w:t>
      </w:r>
      <w:r>
        <w:rPr>
          <w:rStyle w:val="Style_25_ch"/>
          <w:i w:val="0"/>
        </w:rPr>
        <w:t>IV</w:t>
      </w:r>
      <w:r>
        <w:rPr>
          <w:rStyle w:val="Style_25_ch"/>
          <w:b w:val="0"/>
        </w:rPr>
        <w:t>: р</w:t>
      </w:r>
      <w:r>
        <w:t>екомендуется использовать матричные системы и матрицы</w:t>
      </w:r>
      <w:r>
        <w:t>,</w:t>
      </w:r>
      <w:r>
        <w:t xml:space="preserve"> использование методики силиконового ключа для восстановления оральной стенки и режущего края коронки зуба </w:t>
      </w:r>
      <w:r>
        <w:t>(</w:t>
      </w:r>
      <w:r>
        <w:t xml:space="preserve">методики mock-up </w:t>
      </w:r>
      <w:r>
        <w:t xml:space="preserve">и </w:t>
      </w:r>
      <w:r>
        <w:t>wax-up</w:t>
      </w:r>
      <w:r>
        <w:t>).</w:t>
      </w:r>
    </w:p>
    <w:p w14:paraId="CA010000">
      <w:pPr>
        <w:pStyle w:val="Style_22"/>
        <w:widowControl w:val="1"/>
        <w:ind w:firstLine="709" w:left="0"/>
      </w:pPr>
      <w:r>
        <w:rPr>
          <w:b w:val="1"/>
        </w:rPr>
        <w:t>Особенности пломбирования полости класса V (кариес цемента)</w:t>
      </w:r>
      <w:r>
        <w:rPr>
          <w:b w:val="1"/>
        </w:rPr>
        <w:t xml:space="preserve">: </w:t>
      </w:r>
      <w:r>
        <w:t>рекомендуется</w:t>
      </w:r>
      <w:r>
        <w:t xml:space="preserve"> </w:t>
      </w:r>
      <w:r>
        <w:t xml:space="preserve">для пломбирования </w:t>
      </w:r>
      <w:r>
        <w:rPr>
          <w:b w:val="1"/>
        </w:rPr>
        <w:t xml:space="preserve"> </w:t>
      </w:r>
      <w:r>
        <w:t>дефектов</w:t>
      </w:r>
      <w:r>
        <w:t xml:space="preserve"> на вестибулярной поверхности зубов фронтальной группы</w:t>
      </w:r>
      <w:r>
        <w:t xml:space="preserve"> </w:t>
      </w:r>
      <w:r>
        <w:t>выб</w:t>
      </w:r>
      <w:r>
        <w:t>и</w:t>
      </w:r>
      <w:r>
        <w:t xml:space="preserve">рать материал с </w:t>
      </w:r>
      <w:r>
        <w:t>высокими</w:t>
      </w:r>
      <w:r>
        <w:t xml:space="preserve"> эстетическими характеристиками</w:t>
      </w:r>
      <w:r>
        <w:t xml:space="preserve">; </w:t>
      </w:r>
      <w:r>
        <w:t xml:space="preserve">использовать стеклоиономерные (полиалкенатные) цементы </w:t>
      </w:r>
      <w:r>
        <w:t>у</w:t>
      </w:r>
      <w:r>
        <w:t xml:space="preserve"> пациентов с плохой </w:t>
      </w:r>
      <w:r>
        <w:t>ГПР</w:t>
      </w:r>
      <w:r>
        <w:t>,</w:t>
      </w:r>
      <w:r>
        <w:t xml:space="preserve"> что</w:t>
      </w:r>
      <w:r>
        <w:t xml:space="preserve"> обеспечива</w:t>
      </w:r>
      <w:r>
        <w:t>ет</w:t>
      </w:r>
      <w:r>
        <w:t xml:space="preserve"> долговременное фторирование </w:t>
      </w:r>
      <w:r>
        <w:t xml:space="preserve">ТТЗ </w:t>
      </w:r>
      <w:r>
        <w:t>после пломбирования и</w:t>
      </w:r>
      <w:r>
        <w:t xml:space="preserve"> гарантирует</w:t>
      </w:r>
      <w:r>
        <w:t xml:space="preserve"> приемлемы</w:t>
      </w:r>
      <w:r>
        <w:t>е</w:t>
      </w:r>
      <w:r>
        <w:t xml:space="preserve"> эстетически</w:t>
      </w:r>
      <w:r>
        <w:t>е результаты</w:t>
      </w:r>
      <w:r>
        <w:t>;</w:t>
      </w:r>
      <w:r>
        <w:t xml:space="preserve"> </w:t>
      </w:r>
      <w:r>
        <w:t>применять амальгаму или стеклоиономер</w:t>
      </w:r>
      <w:r>
        <w:t xml:space="preserve">ные цементы </w:t>
      </w:r>
      <w:r>
        <w:t xml:space="preserve"> у пациентов пожилого и преклонного возраста, особенно при явлениях ксеростомии. Также возможно использование компомеров, обладающих преимуществами стеклоиономеров и высокой эстетичностью. </w:t>
      </w:r>
    </w:p>
    <w:p w14:paraId="CB010000">
      <w:pPr>
        <w:pStyle w:val="Style_22"/>
        <w:widowControl w:val="1"/>
        <w:ind w:firstLine="709" w:left="0"/>
      </w:pPr>
      <w:r>
        <w:rPr>
          <w:b w:val="1"/>
        </w:rPr>
        <w:t>Особенности пломбирования при кариесе корня:</w:t>
      </w:r>
      <w:r>
        <w:t>. При препарировании кариеса корня / цемента, как правило, отсутствует этап раскрытия кариозной полости; нет необходимости в классическом формировании полости, так как стеклоиономерные цементы и компомеры, рекомендуемые к использованию при кариесе корня, имеют химическую адгезию</w:t>
      </w:r>
      <w:r>
        <w:t xml:space="preserve"> к </w:t>
      </w:r>
      <w:r>
        <w:t xml:space="preserve">ТТЗ; </w:t>
      </w:r>
      <w:r>
        <w:t>для большего эстетического эффекта возможно применение</w:t>
      </w:r>
      <w:r>
        <w:t xml:space="preserve"> компомер</w:t>
      </w:r>
      <w:r>
        <w:t>ов</w:t>
      </w:r>
      <w:r>
        <w:t xml:space="preserve"> розовых оттенков для «камуфляжа» рецессии десны</w:t>
      </w:r>
      <w:r>
        <w:t xml:space="preserve"> </w:t>
      </w:r>
      <w:r>
        <w:t>[282]</w:t>
      </w:r>
      <w:r>
        <w:t>.</w:t>
      </w:r>
    </w:p>
    <w:p w14:paraId="CC010000">
      <w:pPr>
        <w:pStyle w:val="Style_22"/>
        <w:widowControl w:val="1"/>
        <w:ind w:firstLine="709" w:left="0"/>
      </w:pPr>
      <w:r>
        <w:t>П</w:t>
      </w:r>
      <w:r>
        <w:t xml:space="preserve">ри </w:t>
      </w:r>
      <w:r>
        <w:t xml:space="preserve">необходимости и </w:t>
      </w:r>
      <w:r>
        <w:t>поддесневом расположении кариозной полости рекомендуется провести лоскутную операцию и пломбирование</w:t>
      </w:r>
      <w:r>
        <w:t xml:space="preserve"> дефекта в ходе оперативного вмешательства.</w:t>
      </w:r>
    </w:p>
    <w:p w14:paraId="CD010000">
      <w:pPr>
        <w:pStyle w:val="Style_22"/>
        <w:widowControl w:val="1"/>
        <w:ind w:firstLine="709" w:left="0"/>
      </w:pPr>
      <w:r>
        <w:t xml:space="preserve"> </w:t>
      </w:r>
      <w:r>
        <w:t>В настоящее время на территории Р</w:t>
      </w:r>
      <w:r>
        <w:t xml:space="preserve">Ф </w:t>
      </w:r>
      <w:r>
        <w:t>зарегистрированы следующие материалы для постоянного пломбирования зубов:</w:t>
      </w:r>
    </w:p>
    <w:p w14:paraId="CE010000">
      <w:pPr>
        <w:pStyle w:val="Style_22"/>
        <w:widowControl w:val="1"/>
        <w:ind w:firstLine="709" w:left="0"/>
        <w:rPr>
          <w:color w:val="FF0000"/>
        </w:rPr>
      </w:pPr>
      <w:r>
        <w:t>1) Стоматологические цементы (минеральные, полимерные) используются для постоянного пломбирования кариозных полостей.</w:t>
      </w:r>
      <w:r>
        <w:t xml:space="preserve"> </w:t>
      </w:r>
      <w:r>
        <w:t>Минеральные двухкомпонентные цементы малорастворимы в воде и ротовой жидкости. Используются для пломбирования кариозных полостей без окклюзионной нагрузки.</w:t>
      </w:r>
      <w:r>
        <w:t xml:space="preserve"> </w:t>
      </w:r>
      <w:r>
        <w:t xml:space="preserve">Полимерные цементы связываются с зубом химически, не допуская микроподтекания. </w:t>
      </w:r>
      <w:r>
        <w:t>б</w:t>
      </w:r>
      <w:r>
        <w:t xml:space="preserve">иосовместимы, не требуют прокладок, длительно выделяют ионы фтора. </w:t>
      </w:r>
    </w:p>
    <w:p w14:paraId="CF010000">
      <w:pPr>
        <w:pStyle w:val="Style_22"/>
        <w:widowControl w:val="1"/>
        <w:ind w:firstLine="709" w:left="0"/>
      </w:pPr>
      <w:r>
        <w:t>2) Композиты (химические, светоотверждаемые)</w:t>
      </w:r>
      <w:r>
        <w:t xml:space="preserve">. </w:t>
      </w:r>
      <w:r>
        <w:t xml:space="preserve">Химические композиты обладают высокой прочностью, малой усадкой, плохой устойчивостью, ограниченным </w:t>
      </w:r>
      <w:r>
        <w:t xml:space="preserve">временем работы, </w:t>
      </w:r>
      <w:r>
        <w:rPr>
          <w:color w:val="FF0000"/>
        </w:rPr>
        <w:t>токсичны, требуются прокладки</w:t>
      </w:r>
      <w:r>
        <w:rPr>
          <w:color w:val="FF0000"/>
        </w:rPr>
        <w:t xml:space="preserve">. </w:t>
      </w:r>
      <w:r>
        <w:t>Светоотверждаемые композиты обладают высокой прочностью, а пакуемые композиты имитируют по плотности амальгаму и составляют реальную альтернативу амальгаме. Высокая цветостабильность и эстетичность, «командная» полимеризация и удобство в работе, экономичность.</w:t>
      </w:r>
      <w:r>
        <w:t xml:space="preserve"> </w:t>
      </w:r>
      <w:r>
        <w:t>Композиты светоотверждаемые рекомендуются в качестве пломбировочных материалов первой линии как наиболее эффективные при пломбировании всех групп зубов.</w:t>
      </w:r>
    </w:p>
    <w:p w14:paraId="D0010000">
      <w:pPr>
        <w:pStyle w:val="Style_21"/>
        <w:widowControl w:val="1"/>
        <w:tabs>
          <w:tab w:leader="none" w:pos="0" w:val="left"/>
          <w:tab w:leader="none" w:pos="360" w:val="clear"/>
        </w:tabs>
        <w:ind w:firstLine="0" w:left="0"/>
      </w:pPr>
      <w:bookmarkStart w:id="42" w:name="block_4"/>
      <w:bookmarkEnd w:id="42"/>
      <w:r>
        <w:t xml:space="preserve">Рекомендуется у пациентов с </w:t>
      </w:r>
      <w:r>
        <w:rPr>
          <w:i w:val="1"/>
        </w:rPr>
        <w:t>кариесом дентина</w:t>
      </w:r>
      <w:r>
        <w:rPr>
          <w:i w:val="1"/>
        </w:rPr>
        <w:t xml:space="preserve"> (К02.1)</w:t>
      </w:r>
      <w:r>
        <w:t xml:space="preserve"> проведение финишной обработки пломбы / реставрации</w:t>
      </w:r>
      <w:r>
        <w:t xml:space="preserve"> и постбондинга</w:t>
      </w:r>
      <w:r>
        <w:t xml:space="preserve"> </w:t>
      </w:r>
      <w:r>
        <w:t>для придания эстетического вида и продления срока службы реставраций</w:t>
      </w:r>
      <w:r>
        <w:t xml:space="preserve"> </w:t>
      </w:r>
      <w:r>
        <w:t>[</w:t>
      </w:r>
      <w:r>
        <w:t>1, 2, 8, 233</w:t>
      </w:r>
      <w:r>
        <w:t>-238</w:t>
      </w:r>
      <w:r>
        <w:t>]</w:t>
      </w:r>
      <w:r>
        <w:t>.</w:t>
      </w:r>
    </w:p>
    <w:p w14:paraId="D1010000">
      <w:pPr>
        <w:pStyle w:val="Style_23"/>
      </w:pPr>
      <w:r>
        <w:t xml:space="preserve">Уровень убедительности </w:t>
      </w:r>
      <w:r>
        <w:t>А</w:t>
      </w:r>
      <w:r>
        <w:t xml:space="preserve"> (уровень достоверности доказательств – </w:t>
      </w:r>
      <w:r>
        <w:t>1</w:t>
      </w:r>
      <w:r>
        <w:t xml:space="preserve">) </w:t>
      </w:r>
    </w:p>
    <w:p w14:paraId="D2010000">
      <w:pPr>
        <w:pStyle w:val="Style_21"/>
      </w:pPr>
      <w:r>
        <w:t>Рекомендуется проведение повторной оценки реставраций с оценкой следующих критериев: сохранность краевой адаптации материала, анатомической формы реставрации</w:t>
      </w:r>
      <w:r>
        <w:t>;</w:t>
      </w:r>
      <w:r>
        <w:t xml:space="preserve"> цветостабильност</w:t>
      </w:r>
      <w:r>
        <w:t>ь</w:t>
      </w:r>
      <w:r>
        <w:t xml:space="preserve">; </w:t>
      </w:r>
      <w:r>
        <w:t xml:space="preserve"> качества поверхности реставрации и краев полости</w:t>
      </w:r>
      <w:r>
        <w:t>;</w:t>
      </w:r>
      <w:r>
        <w:t xml:space="preserve"> наличие вторичного кариеса (</w:t>
      </w:r>
      <w:r>
        <w:rPr>
          <w:i w:val="1"/>
          <w:color w:themeColor="accent5" w:val="4472C4"/>
        </w:rPr>
        <w:t>Приложение Г</w:t>
      </w:r>
      <w:r>
        <w:rPr>
          <w:i w:val="1"/>
          <w:color w:themeColor="accent5" w:val="4472C4"/>
        </w:rPr>
        <w:t>7</w:t>
      </w:r>
      <w:r>
        <w:t>)</w:t>
      </w:r>
      <w:r>
        <w:t xml:space="preserve"> [232, 239-242].</w:t>
      </w:r>
    </w:p>
    <w:p w14:paraId="D3010000">
      <w:pPr>
        <w:pStyle w:val="Style_23"/>
      </w:pPr>
      <w:r>
        <w:t xml:space="preserve">Уровень убедительности </w:t>
      </w:r>
      <w:r>
        <w:t>А</w:t>
      </w:r>
      <w:r>
        <w:t xml:space="preserve"> (уровень достоверности доказательств – </w:t>
      </w:r>
      <w:r>
        <w:t>1</w:t>
      </w:r>
      <w:r>
        <w:t xml:space="preserve">) </w:t>
      </w:r>
    </w:p>
    <w:p w14:paraId="D4010000">
      <w:bookmarkStart w:id="43" w:name="__RefHeading___27"/>
      <w:bookmarkEnd w:id="43"/>
      <w:pPr>
        <w:pStyle w:val="Style_18"/>
      </w:pPr>
      <w:r>
        <w:t>3.</w:t>
      </w:r>
      <w:r>
        <w:t>4</w:t>
      </w:r>
      <w:r>
        <w:t xml:space="preserve"> Лечение пациентов с</w:t>
      </w:r>
      <w:r>
        <w:t xml:space="preserve"> </w:t>
      </w:r>
      <w:r>
        <w:t>диагнозом «К</w:t>
      </w:r>
      <w:r>
        <w:t>ариес с обнажением пульпы (К02.5)</w:t>
      </w:r>
      <w:r>
        <w:t>»</w:t>
      </w:r>
      <w:r>
        <w:t xml:space="preserve"> </w:t>
      </w:r>
    </w:p>
    <w:p w14:paraId="D5010000">
      <w:pPr>
        <w:pStyle w:val="Style_22"/>
      </w:pPr>
    </w:p>
    <w:p w14:paraId="D6010000">
      <w:pPr>
        <w:pStyle w:val="Style_28"/>
        <w:widowControl w:val="1"/>
        <w:numPr>
          <w:ilvl w:val="0"/>
          <w:numId w:val="7"/>
        </w:numPr>
        <w:tabs>
          <w:tab w:leader="none" w:pos="284" w:val="left"/>
        </w:tabs>
        <w:ind w:hanging="283" w:left="567"/>
        <w:rPr>
          <w:i w:val="0"/>
        </w:rPr>
      </w:pPr>
      <w:r>
        <w:rPr>
          <w:i w:val="0"/>
        </w:rPr>
        <w:t>Рекоменд</w:t>
      </w:r>
      <w:r>
        <w:rPr>
          <w:i w:val="0"/>
        </w:rPr>
        <w:t xml:space="preserve">уется проведение оперативно восстановительного лечения «кариеса с обнажением пульпы» с </w:t>
      </w:r>
      <w:r>
        <w:rPr>
          <w:i w:val="0"/>
        </w:rPr>
        <w:t>полн</w:t>
      </w:r>
      <w:r>
        <w:rPr>
          <w:i w:val="0"/>
        </w:rPr>
        <w:t>ым</w:t>
      </w:r>
      <w:r>
        <w:rPr>
          <w:i w:val="0"/>
        </w:rPr>
        <w:t xml:space="preserve"> или частичн</w:t>
      </w:r>
      <w:r>
        <w:rPr>
          <w:i w:val="0"/>
        </w:rPr>
        <w:t>ым</w:t>
      </w:r>
      <w:r>
        <w:rPr>
          <w:i w:val="0"/>
        </w:rPr>
        <w:t xml:space="preserve"> сохранение</w:t>
      </w:r>
      <w:r>
        <w:rPr>
          <w:i w:val="0"/>
        </w:rPr>
        <w:t>м</w:t>
      </w:r>
      <w:r>
        <w:rPr>
          <w:i w:val="0"/>
        </w:rPr>
        <w:t xml:space="preserve"> витальной пульпы при наличии </w:t>
      </w:r>
      <w:r>
        <w:rPr>
          <w:i w:val="0"/>
        </w:rPr>
        <w:t xml:space="preserve">следующих </w:t>
      </w:r>
      <w:r>
        <w:rPr>
          <w:i w:val="0"/>
        </w:rPr>
        <w:t>показаний:</w:t>
      </w:r>
    </w:p>
    <w:p w14:paraId="D7010000">
      <w:pPr>
        <w:pStyle w:val="Style_28"/>
        <w:numPr>
          <w:ilvl w:val="0"/>
          <w:numId w:val="8"/>
        </w:numPr>
        <w:rPr>
          <w:i w:val="0"/>
        </w:rPr>
      </w:pPr>
      <w:r>
        <w:rPr>
          <w:i w:val="0"/>
        </w:rPr>
        <w:t>отсутствие спонтанных болевых ощущений;</w:t>
      </w:r>
    </w:p>
    <w:p w14:paraId="D8010000">
      <w:pPr>
        <w:pStyle w:val="Style_28"/>
        <w:numPr>
          <w:ilvl w:val="0"/>
          <w:numId w:val="8"/>
        </w:numPr>
        <w:rPr>
          <w:i w:val="0"/>
        </w:rPr>
      </w:pPr>
      <w:r>
        <w:rPr>
          <w:i w:val="0"/>
        </w:rPr>
        <w:t>объективные данные</w:t>
      </w:r>
      <w:r>
        <w:rPr>
          <w:i w:val="0"/>
        </w:rPr>
        <w:t xml:space="preserve"> о</w:t>
      </w:r>
      <w:r>
        <w:rPr>
          <w:i w:val="0"/>
        </w:rPr>
        <w:t xml:space="preserve"> </w:t>
      </w:r>
      <w:r>
        <w:rPr>
          <w:i w:val="0"/>
        </w:rPr>
        <w:t xml:space="preserve">сохранности </w:t>
      </w:r>
      <w:r>
        <w:rPr>
          <w:i w:val="0"/>
        </w:rPr>
        <w:t xml:space="preserve">/ </w:t>
      </w:r>
      <w:r>
        <w:rPr>
          <w:i w:val="0"/>
        </w:rPr>
        <w:t>витальности зуба</w:t>
      </w:r>
      <w:r>
        <w:rPr>
          <w:i w:val="0"/>
        </w:rPr>
        <w:t>,</w:t>
      </w:r>
      <w:r>
        <w:rPr>
          <w:i w:val="0"/>
        </w:rPr>
        <w:t xml:space="preserve"> </w:t>
      </w:r>
      <w:r>
        <w:rPr>
          <w:i w:val="0"/>
        </w:rPr>
        <w:t>полученные в процессе обследования</w:t>
      </w:r>
      <w:r>
        <w:rPr>
          <w:i w:val="0"/>
        </w:rPr>
        <w:t>.</w:t>
      </w:r>
    </w:p>
    <w:p w14:paraId="D9010000">
      <w:pPr>
        <w:pStyle w:val="Style_28"/>
        <w:numPr>
          <w:ilvl w:val="0"/>
          <w:numId w:val="8"/>
        </w:numPr>
        <w:rPr>
          <w:i w:val="0"/>
        </w:rPr>
      </w:pPr>
      <w:r>
        <w:rPr>
          <w:i w:val="0"/>
        </w:rPr>
        <w:t xml:space="preserve">Отсутствие общих и местных противопоказаний </w:t>
      </w:r>
    </w:p>
    <w:p w14:paraId="DA010000">
      <w:pPr>
        <w:pStyle w:val="Style_28"/>
        <w:widowControl w:val="1"/>
        <w:ind w:firstLine="0"/>
        <w:rPr>
          <w:i w:val="0"/>
        </w:rPr>
      </w:pPr>
      <w:r>
        <w:rPr>
          <w:i w:val="0"/>
        </w:rPr>
        <w:t>Не рекомендуется</w:t>
      </w:r>
      <w:r>
        <w:rPr>
          <w:i w:val="0"/>
        </w:rPr>
        <w:t xml:space="preserve"> проведение</w:t>
      </w:r>
      <w:r>
        <w:rPr>
          <w:i w:val="0"/>
        </w:rPr>
        <w:t xml:space="preserve"> </w:t>
      </w:r>
      <w:r>
        <w:rPr>
          <w:i w:val="0"/>
        </w:rPr>
        <w:t xml:space="preserve">оперативно </w:t>
      </w:r>
      <w:r>
        <w:rPr>
          <w:i w:val="0"/>
        </w:rPr>
        <w:t xml:space="preserve">- </w:t>
      </w:r>
      <w:r>
        <w:rPr>
          <w:i w:val="0"/>
        </w:rPr>
        <w:t>восстановительного лечения «кариеса с обнажением пульпы» с полным или частичным сохранением витальной пульпы</w:t>
      </w:r>
      <w:r>
        <w:rPr>
          <w:i w:val="0"/>
        </w:rPr>
        <w:t xml:space="preserve"> у лиц</w:t>
      </w:r>
      <w:r>
        <w:rPr>
          <w:i w:val="0"/>
        </w:rPr>
        <w:t>,</w:t>
      </w:r>
      <w:r>
        <w:rPr>
          <w:i w:val="0"/>
        </w:rPr>
        <w:t xml:space="preserve"> </w:t>
      </w:r>
      <w:r>
        <w:rPr>
          <w:i w:val="0"/>
        </w:rPr>
        <w:t>имеющих</w:t>
      </w:r>
      <w:r>
        <w:rPr>
          <w:i w:val="0"/>
        </w:rPr>
        <w:t>:</w:t>
      </w:r>
      <w:r>
        <w:rPr>
          <w:i w:val="0"/>
        </w:rPr>
        <w:t xml:space="preserve"> </w:t>
      </w:r>
    </w:p>
    <w:p w14:paraId="DB010000">
      <w:pPr>
        <w:pStyle w:val="Style_28"/>
        <w:widowControl w:val="1"/>
        <w:numPr>
          <w:ilvl w:val="0"/>
          <w:numId w:val="9"/>
        </w:numPr>
        <w:ind w:firstLine="0" w:left="0"/>
        <w:rPr>
          <w:i w:val="0"/>
        </w:rPr>
      </w:pPr>
      <w:r>
        <w:rPr>
          <w:i w:val="0"/>
        </w:rPr>
        <w:t>возраст более</w:t>
      </w:r>
      <w:r>
        <w:rPr>
          <w:i w:val="0"/>
        </w:rPr>
        <w:t xml:space="preserve"> 30 лет</w:t>
      </w:r>
      <w:r>
        <w:rPr>
          <w:i w:val="0"/>
        </w:rPr>
        <w:t>;</w:t>
      </w:r>
    </w:p>
    <w:p w14:paraId="DC010000">
      <w:pPr>
        <w:pStyle w:val="Style_28"/>
        <w:widowControl w:val="1"/>
        <w:numPr>
          <w:ilvl w:val="0"/>
          <w:numId w:val="9"/>
        </w:numPr>
        <w:ind w:firstLine="0" w:left="0"/>
        <w:rPr>
          <w:i w:val="0"/>
        </w:rPr>
      </w:pPr>
      <w:r>
        <w:rPr>
          <w:i w:val="0"/>
        </w:rPr>
        <w:t xml:space="preserve"> тяжелую системную патологию</w:t>
      </w:r>
      <w:r>
        <w:rPr>
          <w:i w:val="0"/>
        </w:rPr>
        <w:t>;</w:t>
      </w:r>
    </w:p>
    <w:p w14:paraId="DD010000">
      <w:pPr>
        <w:pStyle w:val="Style_28"/>
        <w:widowControl w:val="1"/>
        <w:ind w:firstLine="0"/>
        <w:rPr>
          <w:i w:val="0"/>
        </w:rPr>
      </w:pPr>
      <w:r>
        <w:rPr>
          <w:i w:val="0"/>
        </w:rPr>
        <w:t xml:space="preserve"> -   </w:t>
      </w:r>
      <w:r>
        <w:rPr>
          <w:i w:val="0"/>
        </w:rPr>
        <w:t>высок</w:t>
      </w:r>
      <w:r>
        <w:rPr>
          <w:i w:val="0"/>
        </w:rPr>
        <w:t>ую</w:t>
      </w:r>
      <w:r>
        <w:rPr>
          <w:i w:val="0"/>
        </w:rPr>
        <w:t xml:space="preserve"> интенсивность кариеса (</w:t>
      </w:r>
      <w:r>
        <w:rPr>
          <w:i w:val="0"/>
        </w:rPr>
        <w:t>КПУ</w:t>
      </w:r>
      <w:r>
        <w:rPr>
          <w:i w:val="0"/>
        </w:rPr>
        <w:t>&gt;</w:t>
      </w:r>
      <w:r>
        <w:rPr>
          <w:i w:val="0"/>
        </w:rPr>
        <w:t xml:space="preserve">7); </w:t>
      </w:r>
    </w:p>
    <w:p w14:paraId="DE010000">
      <w:pPr>
        <w:pStyle w:val="Style_28"/>
        <w:widowControl w:val="1"/>
        <w:numPr>
          <w:ilvl w:val="0"/>
          <w:numId w:val="9"/>
        </w:numPr>
        <w:ind w:firstLine="0" w:left="0"/>
        <w:rPr>
          <w:i w:val="0"/>
        </w:rPr>
      </w:pPr>
      <w:r>
        <w:rPr>
          <w:i w:val="0"/>
        </w:rPr>
        <w:t>полости 5 класс</w:t>
      </w:r>
      <w:r>
        <w:rPr>
          <w:i w:val="0"/>
        </w:rPr>
        <w:t>а</w:t>
      </w:r>
      <w:r>
        <w:rPr>
          <w:i w:val="0"/>
        </w:rPr>
        <w:t>;</w:t>
      </w:r>
    </w:p>
    <w:p w14:paraId="DF010000">
      <w:pPr>
        <w:pStyle w:val="Style_28"/>
        <w:widowControl w:val="1"/>
        <w:numPr>
          <w:ilvl w:val="0"/>
          <w:numId w:val="9"/>
        </w:numPr>
        <w:ind w:firstLine="0" w:left="0"/>
        <w:rPr>
          <w:i w:val="0"/>
        </w:rPr>
      </w:pPr>
      <w:r>
        <w:rPr>
          <w:i w:val="0"/>
        </w:rPr>
        <w:t xml:space="preserve">плохое состояние </w:t>
      </w:r>
      <w:r>
        <w:rPr>
          <w:i w:val="0"/>
        </w:rPr>
        <w:t>ГПР</w:t>
      </w:r>
      <w:r>
        <w:rPr>
          <w:i w:val="0"/>
        </w:rPr>
        <w:t>;</w:t>
      </w:r>
    </w:p>
    <w:p w14:paraId="E0010000">
      <w:pPr>
        <w:pStyle w:val="Style_28"/>
        <w:widowControl w:val="1"/>
        <w:numPr>
          <w:ilvl w:val="0"/>
          <w:numId w:val="9"/>
        </w:numPr>
        <w:ind w:firstLine="0" w:left="0"/>
        <w:rPr>
          <w:i w:val="0"/>
        </w:rPr>
      </w:pPr>
      <w:r>
        <w:rPr>
          <w:i w:val="0"/>
        </w:rPr>
        <w:t>снижен</w:t>
      </w:r>
      <w:r>
        <w:rPr>
          <w:i w:val="0"/>
        </w:rPr>
        <w:t>ную</w:t>
      </w:r>
      <w:r>
        <w:rPr>
          <w:i w:val="0"/>
        </w:rPr>
        <w:t xml:space="preserve"> </w:t>
      </w:r>
      <w:r>
        <w:rPr>
          <w:i w:val="0"/>
        </w:rPr>
        <w:t xml:space="preserve">до 40 мкA и более </w:t>
      </w:r>
      <w:r>
        <w:rPr>
          <w:i w:val="0"/>
        </w:rPr>
        <w:t>электровозбудимост</w:t>
      </w:r>
      <w:r>
        <w:rPr>
          <w:i w:val="0"/>
        </w:rPr>
        <w:t>ь</w:t>
      </w:r>
      <w:r>
        <w:rPr>
          <w:i w:val="0"/>
        </w:rPr>
        <w:t xml:space="preserve"> пульпы;</w:t>
      </w:r>
    </w:p>
    <w:p w14:paraId="E1010000">
      <w:pPr>
        <w:pStyle w:val="Style_28"/>
        <w:widowControl w:val="1"/>
        <w:numPr>
          <w:ilvl w:val="0"/>
          <w:numId w:val="9"/>
        </w:numPr>
        <w:ind w:firstLine="0" w:left="0"/>
        <w:rPr>
          <w:i w:val="0"/>
        </w:rPr>
      </w:pPr>
      <w:r>
        <w:rPr>
          <w:i w:val="0"/>
        </w:rPr>
        <w:t>и</w:t>
      </w:r>
      <w:r>
        <w:rPr>
          <w:i w:val="0"/>
        </w:rPr>
        <w:t>зменения в периодонте и /или пародонте</w:t>
      </w:r>
      <w:r>
        <w:rPr>
          <w:i w:val="0"/>
        </w:rPr>
        <w:t>.</w:t>
      </w:r>
    </w:p>
    <w:p w14:paraId="E2010000">
      <w:pPr>
        <w:pStyle w:val="Style_23"/>
      </w:pPr>
      <w:r>
        <w:t>Уровень убедительности рекомендаций В (уровень достоверности доказательств – 2)</w:t>
      </w:r>
    </w:p>
    <w:p w14:paraId="E3010000">
      <w:pPr>
        <w:pStyle w:val="Style_22"/>
        <w:widowControl w:val="1"/>
        <w:ind w:firstLine="709" w:left="0"/>
      </w:pPr>
      <w:r>
        <w:rPr>
          <w:b w:val="1"/>
        </w:rPr>
        <w:t>Комментарии:</w:t>
      </w:r>
      <w:r>
        <w:t xml:space="preserve"> частота неблагоприятных исходов составляет 0,05 / 100 (95% Ди: 0,001–0,30) и 2,38/100 (95% Ди: 0,29–8,34) соответственно в зубах с малым (&lt;5 мм 2 ) и большим (&gt;5 мм&gt; 2 ) сообщением пульповой камеры и кариозной полости [</w:t>
      </w:r>
      <w:r>
        <w:t>243</w:t>
      </w:r>
      <w:r>
        <w:t>]. Метод частичного сохранения пульпы -   витальной ампутации пульпы - пульпотомия (только для многокорневых зубов) [</w:t>
      </w:r>
      <w:r>
        <w:t>244</w:t>
      </w:r>
      <w:r>
        <w:t>].</w:t>
      </w:r>
    </w:p>
    <w:p w14:paraId="E4010000">
      <w:pPr>
        <w:pStyle w:val="Style_21"/>
        <w:widowControl w:val="1"/>
        <w:tabs>
          <w:tab w:leader="none" w:pos="0" w:val="left"/>
          <w:tab w:leader="none" w:pos="360" w:val="clear"/>
        </w:tabs>
        <w:ind w:firstLine="142" w:left="-142"/>
      </w:pPr>
      <w:r>
        <w:t>Рекомендуется пациенту с</w:t>
      </w:r>
      <w:r>
        <w:t xml:space="preserve"> диагнозом</w:t>
      </w:r>
      <w:r>
        <w:t xml:space="preserve"> </w:t>
      </w:r>
      <w:r>
        <w:rPr>
          <w:i w:val="1"/>
        </w:rPr>
        <w:t>“</w:t>
      </w:r>
      <w:r>
        <w:rPr>
          <w:i w:val="1"/>
        </w:rPr>
        <w:t>К</w:t>
      </w:r>
      <w:r>
        <w:rPr>
          <w:i w:val="1"/>
        </w:rPr>
        <w:t>ариес</w:t>
      </w:r>
      <w:r>
        <w:rPr>
          <w:i w:val="1"/>
        </w:rPr>
        <w:t xml:space="preserve"> </w:t>
      </w:r>
      <w:r>
        <w:rPr>
          <w:i w:val="1"/>
        </w:rPr>
        <w:t>с обнажением пульпы</w:t>
      </w:r>
      <w:r>
        <w:rPr>
          <w:i w:val="1"/>
        </w:rPr>
        <w:t>”</w:t>
      </w:r>
      <w:r>
        <w:rPr>
          <w:i w:val="1"/>
        </w:rPr>
        <w:t xml:space="preserve"> (К02.5)</w:t>
      </w:r>
      <w:r>
        <w:t xml:space="preserve"> оперативно-восстановительное лечение проводить после очищения поверхности пораженного зуба, в условиях его полной изоляции зуба от ротовой жидкости с помощью латексных изоляционных систем (коффердам, роббердам, оптодам и др.)</w:t>
      </w:r>
      <w:r>
        <w:t xml:space="preserve"> </w:t>
      </w:r>
      <w:r>
        <w:t>[160-163]</w:t>
      </w:r>
      <w:r>
        <w:t>.</w:t>
      </w:r>
    </w:p>
    <w:p w14:paraId="E5010000">
      <w:pPr>
        <w:widowControl w:val="1"/>
        <w:ind w:firstLine="0" w:left="709"/>
        <w:contextualSpacing w:val="1"/>
        <w:rPr>
          <w:b w:val="1"/>
        </w:rPr>
      </w:pPr>
      <w:r>
        <w:rPr>
          <w:b w:val="1"/>
        </w:rPr>
        <w:t xml:space="preserve">Уровень убедительности рекомендаций </w:t>
      </w:r>
      <w:r>
        <w:rPr>
          <w:b w:val="1"/>
        </w:rPr>
        <w:t>A</w:t>
      </w:r>
      <w:r>
        <w:rPr>
          <w:b w:val="1"/>
        </w:rPr>
        <w:t xml:space="preserve"> (уровень достоверности доказательств –</w:t>
      </w:r>
      <w:r>
        <w:rPr>
          <w:b w:val="1"/>
        </w:rPr>
        <w:t>1</w:t>
      </w:r>
      <w:r>
        <w:rPr>
          <w:b w:val="1"/>
        </w:rPr>
        <w:t>)</w:t>
      </w:r>
    </w:p>
    <w:p w14:paraId="E6010000">
      <w:pPr>
        <w:pStyle w:val="Style_21"/>
        <w:widowControl w:val="1"/>
        <w:tabs>
          <w:tab w:leader="none" w:pos="0" w:val="left"/>
          <w:tab w:leader="none" w:pos="360" w:val="clear"/>
        </w:tabs>
        <w:ind w:firstLine="0" w:left="0"/>
      </w:pPr>
      <w:r>
        <w:t xml:space="preserve">Рекомендуется при проведении оперативно-восстановительного-лечения зубов по поводу </w:t>
      </w:r>
      <w:r>
        <w:rPr>
          <w:i w:val="1"/>
        </w:rPr>
        <w:t>кариес</w:t>
      </w:r>
      <w:r>
        <w:rPr>
          <w:i w:val="1"/>
        </w:rPr>
        <w:t>а</w:t>
      </w:r>
      <w:r>
        <w:rPr>
          <w:i w:val="1"/>
        </w:rPr>
        <w:t xml:space="preserve"> с обнажением пульпы (К02.5)</w:t>
      </w:r>
      <w:r>
        <w:t xml:space="preserve"> проведение обезболивания с использованием аппликационной, инфильтрационной и/или проводниковой анестезии для контроля болевого симптома на этапах лечения; выбор анестетика проводится с учетом системного статуса и фармакологического анамнеза пациента</w:t>
      </w:r>
      <w:r>
        <w:t xml:space="preserve"> [164-176].</w:t>
      </w:r>
    </w:p>
    <w:p w14:paraId="E7010000">
      <w:pPr>
        <w:pStyle w:val="Style_23"/>
      </w:pPr>
      <w:r>
        <w:t xml:space="preserve">Уровень убедительности рекомендаций </w:t>
      </w:r>
      <w:r>
        <w:t>A</w:t>
      </w:r>
      <w:r>
        <w:t xml:space="preserve"> (уровень достоверности доказательств –</w:t>
      </w:r>
      <w:r>
        <w:t>1</w:t>
      </w:r>
      <w:r>
        <w:t>)</w:t>
      </w:r>
    </w:p>
    <w:p w14:paraId="E8010000">
      <w:pPr>
        <w:pStyle w:val="Style_17"/>
        <w:rPr>
          <w:i w:val="1"/>
        </w:rPr>
      </w:pPr>
      <w:r>
        <w:rPr>
          <w:i w:val="1"/>
        </w:rPr>
        <w:t>Лидокаина гидрохлорид (15% р-р в форме геля) (АХТ-N01BB02/</w:t>
      </w:r>
      <w:r>
        <w:rPr>
          <w:rStyle w:val="Style_26_ch"/>
          <w:i w:val="1"/>
        </w:rPr>
        <w:fldChar w:fldCharType="begin"/>
      </w:r>
      <w:r>
        <w:rPr>
          <w:rStyle w:val="Style_26_ch"/>
          <w:i w:val="1"/>
        </w:rPr>
        <w:instrText>HYPERLINK "https://www.vidal.ru/drugs/atc/n01bb52"</w:instrText>
      </w:r>
      <w:r>
        <w:rPr>
          <w:rStyle w:val="Style_26_ch"/>
          <w:i w:val="1"/>
        </w:rPr>
        <w:fldChar w:fldCharType="separate"/>
      </w:r>
      <w:r>
        <w:rPr>
          <w:rStyle w:val="Style_26_ch"/>
          <w:i w:val="1"/>
        </w:rPr>
        <w:t>N01BB52</w:t>
      </w:r>
      <w:r>
        <w:rPr>
          <w:rStyle w:val="Style_26_ch"/>
          <w:i w:val="1"/>
        </w:rPr>
        <w:fldChar w:fldCharType="end"/>
      </w:r>
      <w:r>
        <w:rPr>
          <w:i w:val="1"/>
        </w:rPr>
        <w:t>) для проведения аппликационной анестезии перед инфильтрационной / проводниковой анестезией. Противопоказан при наличии гиперчувствительности к препарату.</w:t>
      </w:r>
    </w:p>
    <w:p w14:paraId="E9010000">
      <w:pPr>
        <w:pStyle w:val="Style_17"/>
        <w:rPr>
          <w:i w:val="1"/>
        </w:rPr>
      </w:pPr>
      <w:r>
        <w:rPr>
          <w:i w:val="1"/>
        </w:rPr>
        <w:t>Бензокаин (20% р-р в форме геля) (АХТ- N01BA05) для проведения аппликационной анестезии перед инфильтрационной / проводниковой анестезией. Противопоказан при наличии гиперчувствительности к препарату.</w:t>
      </w:r>
    </w:p>
    <w:p w14:paraId="EA010000">
      <w:pPr>
        <w:pStyle w:val="Style_17"/>
        <w:rPr>
          <w:i w:val="1"/>
        </w:rPr>
      </w:pPr>
      <w:r>
        <w:rPr>
          <w:i w:val="1"/>
        </w:rPr>
        <w:t xml:space="preserve">Артикаина гидрохлорид (4% р-р с вазоконстриктором 1:100 000 / 1:200 000) (АХТ -N01BB08/ N01BB58 ) для проведения инфильтрационной / проводниковой анестезии. Противопоказания: индивидуальная непереносимость, декомпенсированная сердечная недостаточность, глаукома, бронхиальная астма, синдром Адамса-Стокса, тахиаритмия, сахарный диабет, повышенная чувствительность к сульфитам, у </w:t>
      </w:r>
      <w:r>
        <w:rPr>
          <w:i w:val="1"/>
        </w:rPr>
        <w:t>пациентов, применяющих неселективные бета-блокаторы и антидепрессанты, - рекомендуется использовать местные анестетики на основе мепивакаина.</w:t>
      </w:r>
    </w:p>
    <w:p w14:paraId="EB010000">
      <w:pPr>
        <w:pStyle w:val="Style_17"/>
        <w:widowControl w:val="1"/>
        <w:ind w:firstLine="426"/>
        <w:rPr>
          <w:i w:val="1"/>
        </w:rPr>
      </w:pPr>
      <w:r>
        <w:rPr>
          <w:i w:val="1"/>
        </w:rPr>
        <w:tab/>
      </w:r>
      <w:r>
        <w:rPr>
          <w:i w:val="1"/>
        </w:rPr>
        <w:t>Мепивакаина гидрохлорид (2% р-р) (АХТ -N01BB03) для проведения инфильтрационной / проводниковой анестезии у пациентов с наличием системных противопоказаний к применению артикаина гидрохлорида.</w:t>
      </w:r>
    </w:p>
    <w:p w14:paraId="EC010000">
      <w:pPr>
        <w:pStyle w:val="Style_21"/>
        <w:widowControl w:val="1"/>
        <w:tabs>
          <w:tab w:leader="none" w:pos="0" w:val="left"/>
          <w:tab w:leader="none" w:pos="360" w:val="clear"/>
        </w:tabs>
        <w:ind w:firstLine="0" w:left="0"/>
      </w:pPr>
      <w:r>
        <w:t>Рекомендуется пациенту с</w:t>
      </w:r>
      <w:r>
        <w:t xml:space="preserve"> диагнозом </w:t>
      </w:r>
      <w:r>
        <w:t>“</w:t>
      </w:r>
      <w:r>
        <w:rPr>
          <w:i w:val="1"/>
        </w:rPr>
        <w:t>К</w:t>
      </w:r>
      <w:r>
        <w:rPr>
          <w:i w:val="1"/>
        </w:rPr>
        <w:t>ариес</w:t>
      </w:r>
      <w:r>
        <w:rPr>
          <w:i w:val="1"/>
        </w:rPr>
        <w:t xml:space="preserve"> </w:t>
      </w:r>
      <w:r>
        <w:rPr>
          <w:i w:val="1"/>
        </w:rPr>
        <w:t>с обнажением пульпы</w:t>
      </w:r>
      <w:r>
        <w:rPr>
          <w:i w:val="1"/>
        </w:rPr>
        <w:t>”</w:t>
      </w:r>
      <w:r>
        <w:rPr>
          <w:i w:val="1"/>
        </w:rPr>
        <w:t xml:space="preserve"> </w:t>
      </w:r>
      <w:r>
        <w:rPr>
          <w:i w:val="1"/>
        </w:rPr>
        <w:t>(К02.5)</w:t>
      </w:r>
      <w:r>
        <w:t xml:space="preserve"> проводить препарирование кариозной полости с хорошей освещенностью рабочего поля (бестеневые светильники, фиброоптика в наконечнике и др. </w:t>
      </w:r>
      <w:r>
        <w:t>[1, 2].</w:t>
      </w:r>
    </w:p>
    <w:p w14:paraId="ED010000">
      <w:pPr>
        <w:pStyle w:val="Style_23"/>
      </w:pPr>
      <w:r>
        <w:t xml:space="preserve">Уровень убедительности рекомендаций </w:t>
      </w:r>
      <w:r>
        <w:t>B</w:t>
      </w:r>
      <w:r>
        <w:t xml:space="preserve"> (уровень достоверности доказательств – 2)</w:t>
      </w:r>
    </w:p>
    <w:p w14:paraId="EE010000">
      <w:pPr>
        <w:pStyle w:val="Style_21"/>
        <w:widowControl w:val="1"/>
        <w:tabs>
          <w:tab w:leader="none" w:pos="0" w:val="left"/>
          <w:tab w:leader="none" w:pos="360" w:val="clear"/>
        </w:tabs>
        <w:ind w:firstLine="0" w:left="0"/>
      </w:pPr>
      <w:r>
        <w:t>Рекомендуется пациенту с</w:t>
      </w:r>
      <w:r>
        <w:t xml:space="preserve"> диагнозом </w:t>
      </w:r>
      <w:r>
        <w:t>“</w:t>
      </w:r>
      <w:r>
        <w:rPr>
          <w:i w:val="1"/>
        </w:rPr>
        <w:t>К</w:t>
      </w:r>
      <w:r>
        <w:rPr>
          <w:i w:val="1"/>
        </w:rPr>
        <w:t>ариесом с обнажением пульпы</w:t>
      </w:r>
      <w:r>
        <w:rPr>
          <w:i w:val="1"/>
        </w:rPr>
        <w:t>”</w:t>
      </w:r>
      <w:r>
        <w:rPr>
          <w:i w:val="1"/>
        </w:rPr>
        <w:t xml:space="preserve"> (К02.5)</w:t>
      </w:r>
      <w:r>
        <w:t xml:space="preserve"> проводить препарирование кариозной полости с использованием увеличения (увеличивающие стоматологические зеркала, бинокуляры</w:t>
      </w:r>
      <w:r>
        <w:t xml:space="preserve"> </w:t>
      </w:r>
      <w:r>
        <w:t>и др.)</w:t>
      </w:r>
      <w:r>
        <w:t xml:space="preserve"> </w:t>
      </w:r>
      <w:r>
        <w:t>[177-185]</w:t>
      </w:r>
      <w:r>
        <w:t xml:space="preserve">. </w:t>
      </w:r>
    </w:p>
    <w:p w14:paraId="EF010000">
      <w:pPr>
        <w:widowControl w:val="1"/>
        <w:ind w:firstLine="0" w:left="709"/>
        <w:contextualSpacing w:val="1"/>
        <w:rPr>
          <w:b w:val="1"/>
        </w:rPr>
      </w:pPr>
      <w:r>
        <w:rPr>
          <w:b w:val="1"/>
        </w:rPr>
        <w:t xml:space="preserve">Уровень убедительности рекомендаций </w:t>
      </w:r>
      <w:r>
        <w:rPr>
          <w:b w:val="1"/>
        </w:rPr>
        <w:t>A</w:t>
      </w:r>
      <w:r>
        <w:rPr>
          <w:b w:val="1"/>
        </w:rPr>
        <w:t xml:space="preserve"> (уровень достоверности доказательств – </w:t>
      </w:r>
      <w:r>
        <w:rPr>
          <w:b w:val="1"/>
        </w:rPr>
        <w:t>1</w:t>
      </w:r>
      <w:r>
        <w:rPr>
          <w:b w:val="1"/>
        </w:rPr>
        <w:t>)</w:t>
      </w:r>
    </w:p>
    <w:p w14:paraId="F0010000">
      <w:pPr>
        <w:pStyle w:val="Style_21"/>
        <w:widowControl w:val="1"/>
        <w:tabs>
          <w:tab w:leader="none" w:pos="0" w:val="left"/>
          <w:tab w:leader="none" w:pos="360" w:val="clear"/>
        </w:tabs>
        <w:ind w:firstLine="0" w:left="0"/>
      </w:pPr>
      <w:r>
        <w:t xml:space="preserve">Рекомендуется пациенту с </w:t>
      </w:r>
      <w:r>
        <w:t xml:space="preserve">диагнозом </w:t>
      </w:r>
      <w:r>
        <w:t>“</w:t>
      </w:r>
      <w:r>
        <w:rPr>
          <w:i w:val="1"/>
        </w:rPr>
        <w:t>Ка</w:t>
      </w:r>
      <w:r>
        <w:rPr>
          <w:i w:val="1"/>
        </w:rPr>
        <w:t>риес с обнажением пульпы</w:t>
      </w:r>
      <w:r>
        <w:rPr>
          <w:i w:val="1"/>
        </w:rPr>
        <w:t>”</w:t>
      </w:r>
      <w:r>
        <w:rPr>
          <w:i w:val="1"/>
        </w:rPr>
        <w:t>(К02.5)</w:t>
      </w:r>
      <w:r>
        <w:t xml:space="preserve"> проводить </w:t>
      </w:r>
      <w:r>
        <w:rPr>
          <w:i w:val="1"/>
        </w:rPr>
        <w:t>классическое препарирование</w:t>
      </w:r>
      <w:r>
        <w:t xml:space="preserve"> кариозной полости, используя стерильные, острые боры с обильным водяным охлаждением (не менее 70-80 мл/мин) с учетом особенностей препарирования для различных локализаций / классов кариозной полости, а также с учетом выбранного реставрационного </w:t>
      </w:r>
      <w:r>
        <w:t>материала</w:t>
      </w:r>
    </w:p>
    <w:p w14:paraId="F1010000">
      <w:pPr>
        <w:pStyle w:val="Style_21"/>
        <w:widowControl w:val="1"/>
        <w:numPr>
          <w:ilvl w:val="0"/>
          <w:numId w:val="0"/>
        </w:numPr>
        <w:ind w:left="360"/>
      </w:pPr>
      <w:r>
        <w:rPr>
          <w:b w:val="1"/>
        </w:rPr>
        <w:t xml:space="preserve">Уровень убедительности рекомендаций </w:t>
      </w:r>
      <w:r>
        <w:rPr>
          <w:b w:val="1"/>
        </w:rPr>
        <w:t>A</w:t>
      </w:r>
      <w:r>
        <w:rPr>
          <w:b w:val="1"/>
        </w:rPr>
        <w:t xml:space="preserve"> (уровень достоверности доказательств – 1)</w:t>
      </w:r>
    </w:p>
    <w:p w14:paraId="F2010000">
      <w:pPr>
        <w:pStyle w:val="Style_21"/>
        <w:widowControl w:val="1"/>
        <w:tabs>
          <w:tab w:leader="none" w:pos="0" w:val="left"/>
          <w:tab w:leader="none" w:pos="360" w:val="clear"/>
        </w:tabs>
        <w:ind w:firstLine="0" w:left="0"/>
      </w:pPr>
      <w:r>
        <w:t xml:space="preserve">Рекомендуется </w:t>
      </w:r>
      <w:r>
        <w:t>при оперативно-восстановительном лечении</w:t>
      </w:r>
      <w:r>
        <w:t xml:space="preserve"> кариеса с обнажением пульпы (К02</w:t>
      </w:r>
      <w:r>
        <w:t>.5)</w:t>
      </w:r>
      <w:r>
        <w:t xml:space="preserve"> на этапе препарирования</w:t>
      </w:r>
      <w:r>
        <w:t xml:space="preserve"> проводить селективное удалени</w:t>
      </w:r>
      <w:r>
        <w:t>е пораженного</w:t>
      </w:r>
      <w:r>
        <w:t xml:space="preserve"> дентина</w:t>
      </w:r>
      <w:r>
        <w:t xml:space="preserve"> двухэтапно, </w:t>
      </w:r>
      <w:r>
        <w:t xml:space="preserve">в одно или два посещения two-step </w:t>
      </w:r>
      <w:r>
        <w:t>техника</w:t>
      </w:r>
      <w:r>
        <w:t>)</w:t>
      </w:r>
      <w:r>
        <w:t xml:space="preserve"> </w:t>
      </w:r>
      <w:r>
        <w:t>[</w:t>
      </w:r>
      <w:r>
        <w:t>245</w:t>
      </w:r>
      <w:r>
        <w:t>-250]</w:t>
      </w:r>
      <w:r>
        <w:t xml:space="preserve">. </w:t>
      </w:r>
    </w:p>
    <w:p w14:paraId="F3010000">
      <w:pPr>
        <w:pStyle w:val="Style_23"/>
      </w:pPr>
      <w:r>
        <w:t xml:space="preserve">Уровень убедительности рекомендаций </w:t>
      </w:r>
      <w:r>
        <w:t>A</w:t>
      </w:r>
      <w:r>
        <w:t xml:space="preserve"> (уровень достоверности доказательств – </w:t>
      </w:r>
      <w:r>
        <w:t>1</w:t>
      </w:r>
      <w:r>
        <w:t>)</w:t>
      </w:r>
    </w:p>
    <w:p w14:paraId="F4010000">
      <w:pPr>
        <w:pStyle w:val="Style_23"/>
        <w:widowControl w:val="1"/>
        <w:ind w:firstLine="1069" w:left="0"/>
        <w:rPr>
          <w:b w:val="0"/>
          <w:i w:val="1"/>
          <w:color w:val="111111"/>
          <w:highlight w:val="white"/>
        </w:rPr>
      </w:pPr>
      <w:r>
        <w:t>Комментарии:</w:t>
      </w:r>
      <w:r>
        <w:t xml:space="preserve"> </w:t>
      </w:r>
      <w:r>
        <w:rPr>
          <w:b w:val="0"/>
          <w:i w:val="1"/>
        </w:rPr>
        <w:t xml:space="preserve">Неселективное (полное) удаление кариозного дентина не рассматривается </w:t>
      </w:r>
      <w:r>
        <w:rPr>
          <w:b w:val="0"/>
          <w:i w:val="1"/>
        </w:rPr>
        <w:t xml:space="preserve">как </w:t>
      </w:r>
      <w:r>
        <w:rPr>
          <w:b w:val="0"/>
          <w:i w:val="1"/>
        </w:rPr>
        <w:t>метод</w:t>
      </w:r>
      <w:r>
        <w:rPr>
          <w:b w:val="0"/>
          <w:i w:val="1"/>
        </w:rPr>
        <w:t xml:space="preserve"> выбора при</w:t>
      </w:r>
      <w:r>
        <w:rPr>
          <w:b w:val="0"/>
          <w:i w:val="1"/>
        </w:rPr>
        <w:t xml:space="preserve"> лечении кариеса с обнажением пульпы.</w:t>
      </w:r>
      <w:r>
        <w:rPr>
          <w:b w:val="0"/>
          <w:i w:val="1"/>
        </w:rPr>
        <w:t xml:space="preserve"> </w:t>
      </w:r>
      <w:r>
        <w:rPr>
          <w:b w:val="0"/>
          <w:i w:val="1"/>
        </w:rPr>
        <w:t>Успешность лечения кариеса по методике двухэтапного селективного</w:t>
      </w:r>
      <w:r>
        <w:rPr>
          <w:b w:val="0"/>
          <w:i w:val="1"/>
        </w:rPr>
        <w:t xml:space="preserve"> </w:t>
      </w:r>
      <w:r>
        <w:rPr>
          <w:b w:val="0"/>
          <w:i w:val="1"/>
        </w:rPr>
        <w:t>удаления пораженного дентина</w:t>
      </w:r>
      <w:r>
        <w:rPr>
          <w:b w:val="0"/>
          <w:i w:val="1"/>
        </w:rPr>
        <w:t xml:space="preserve"> через 5 лет составляет 60%</w:t>
      </w:r>
      <w:r>
        <w:rPr>
          <w:b w:val="0"/>
          <w:i w:val="1"/>
        </w:rPr>
        <w:t xml:space="preserve">, а </w:t>
      </w:r>
      <w:r>
        <w:rPr>
          <w:b w:val="0"/>
          <w:i w:val="1"/>
        </w:rPr>
        <w:t>при неселективном удалени</w:t>
      </w:r>
      <w:r>
        <w:rPr>
          <w:b w:val="0"/>
          <w:i w:val="1"/>
        </w:rPr>
        <w:t>и</w:t>
      </w:r>
      <w:r>
        <w:rPr>
          <w:b w:val="0"/>
          <w:i w:val="1"/>
        </w:rPr>
        <w:t xml:space="preserve"> </w:t>
      </w:r>
      <w:r>
        <w:rPr>
          <w:b w:val="0"/>
          <w:i w:val="1"/>
        </w:rPr>
        <w:t xml:space="preserve">пораженного </w:t>
      </w:r>
      <w:r>
        <w:rPr>
          <w:b w:val="0"/>
          <w:i w:val="1"/>
        </w:rPr>
        <w:t xml:space="preserve">дентина </w:t>
      </w:r>
      <w:r>
        <w:rPr>
          <w:b w:val="0"/>
          <w:i w:val="1"/>
        </w:rPr>
        <w:t>–</w:t>
      </w:r>
      <w:r>
        <w:rPr>
          <w:b w:val="0"/>
          <w:i w:val="1"/>
        </w:rPr>
        <w:t xml:space="preserve"> </w:t>
      </w:r>
      <w:r>
        <w:rPr>
          <w:b w:val="0"/>
          <w:i w:val="1"/>
        </w:rPr>
        <w:t xml:space="preserve">снижается до </w:t>
      </w:r>
      <w:r>
        <w:rPr>
          <w:b w:val="0"/>
          <w:i w:val="1"/>
        </w:rPr>
        <w:t>46%</w:t>
      </w:r>
      <w:r>
        <w:rPr>
          <w:b w:val="0"/>
        </w:rPr>
        <w:t>.</w:t>
      </w:r>
    </w:p>
    <w:p w14:paraId="F5010000">
      <w:pPr>
        <w:pStyle w:val="Style_23"/>
        <w:widowControl w:val="1"/>
        <w:ind w:firstLine="1069" w:left="0"/>
        <w:rPr>
          <w:b w:val="0"/>
        </w:rPr>
      </w:pPr>
      <w:r>
        <w:rPr>
          <w:b w:val="0"/>
          <w:i w:val="1"/>
        </w:rPr>
        <w:t>Частота неблагоприятных исходов</w:t>
      </w:r>
      <w:r>
        <w:rPr>
          <w:b w:val="0"/>
          <w:i w:val="1"/>
        </w:rPr>
        <w:t xml:space="preserve"> лечения</w:t>
      </w:r>
      <w:r>
        <w:rPr>
          <w:b w:val="0"/>
          <w:i w:val="1"/>
        </w:rPr>
        <w:t xml:space="preserve"> составила 0,05 / 100 (95% Ди: 0,001–0,30) и 2,38/100 (95% Ди: 0,29–8,34) соответственно в зубах с </w:t>
      </w:r>
      <w:r>
        <w:rPr>
          <w:b w:val="0"/>
          <w:i w:val="1"/>
        </w:rPr>
        <w:t>точечным</w:t>
      </w:r>
      <w:r>
        <w:rPr>
          <w:b w:val="0"/>
          <w:i w:val="1"/>
        </w:rPr>
        <w:t xml:space="preserve"> (&lt;5 мм </w:t>
      </w:r>
      <w:r>
        <w:rPr>
          <w:b w:val="0"/>
          <w:i w:val="1"/>
          <w:color w:val="1C1D1E"/>
          <w:highlight w:val="white"/>
          <w:vertAlign w:val="superscript"/>
        </w:rPr>
        <w:t>2 </w:t>
      </w:r>
      <w:r>
        <w:rPr>
          <w:b w:val="0"/>
          <w:i w:val="1"/>
        </w:rPr>
        <w:t xml:space="preserve">) и </w:t>
      </w:r>
      <w:r>
        <w:rPr>
          <w:b w:val="0"/>
          <w:i w:val="1"/>
        </w:rPr>
        <w:t>обширным</w:t>
      </w:r>
      <w:r>
        <w:rPr>
          <w:b w:val="0"/>
          <w:i w:val="1"/>
        </w:rPr>
        <w:t xml:space="preserve"> (&gt;5 мм&gt; </w:t>
      </w:r>
      <w:r>
        <w:rPr>
          <w:b w:val="0"/>
          <w:i w:val="1"/>
          <w:color w:val="1C1D1E"/>
          <w:highlight w:val="white"/>
          <w:vertAlign w:val="superscript"/>
        </w:rPr>
        <w:t>2 </w:t>
      </w:r>
      <w:r>
        <w:rPr>
          <w:b w:val="0"/>
          <w:i w:val="1"/>
        </w:rPr>
        <w:t xml:space="preserve">) </w:t>
      </w:r>
      <w:r>
        <w:rPr>
          <w:b w:val="0"/>
          <w:i w:val="1"/>
        </w:rPr>
        <w:t>вскрытием полости зуба</w:t>
      </w:r>
      <w:r>
        <w:rPr>
          <w:b w:val="0"/>
        </w:rPr>
        <w:t>.</w:t>
      </w:r>
    </w:p>
    <w:p w14:paraId="F6010000">
      <w:pPr>
        <w:pStyle w:val="Style_21"/>
        <w:widowControl w:val="1"/>
        <w:tabs>
          <w:tab w:leader="none" w:pos="0" w:val="left"/>
          <w:tab w:leader="none" w:pos="360" w:val="clear"/>
        </w:tabs>
        <w:ind w:firstLine="0" w:left="0"/>
      </w:pPr>
      <w:r>
        <w:t xml:space="preserve">Рекомендуется </w:t>
      </w:r>
      <w:r>
        <w:t>пациенту</w:t>
      </w:r>
      <w:r>
        <w:t xml:space="preserve"> </w:t>
      </w:r>
      <w:r>
        <w:t>с</w:t>
      </w:r>
      <w:r>
        <w:t xml:space="preserve"> диагнозом</w:t>
      </w:r>
      <w:r>
        <w:t xml:space="preserve"> </w:t>
      </w:r>
      <w:r>
        <w:t>“</w:t>
      </w:r>
      <w:r>
        <w:t>К</w:t>
      </w:r>
      <w:r>
        <w:t>ариес с обнажением пульпы</w:t>
      </w:r>
      <w:r>
        <w:t>»</w:t>
      </w:r>
      <w:r>
        <w:t xml:space="preserve"> (К02.5)</w:t>
      </w:r>
      <w:r>
        <w:t xml:space="preserve"> проводить гемостаз и антисептическую обработку </w:t>
      </w:r>
      <w:r>
        <w:t xml:space="preserve">отпрепарированной и сформированной полости </w:t>
      </w:r>
      <w:r>
        <w:t>стерильными ватными шариками</w:t>
      </w:r>
      <w:r>
        <w:t>,</w:t>
      </w:r>
      <w:r>
        <w:t xml:space="preserve"> смоченными в антисептических растворах</w:t>
      </w:r>
      <w:r>
        <w:t xml:space="preserve"> </w:t>
      </w:r>
    </w:p>
    <w:p w14:paraId="F7010000">
      <w:pPr>
        <w:pStyle w:val="Style_24"/>
        <w:widowControl w:val="1"/>
        <w:numPr>
          <w:ilvl w:val="0"/>
          <w:numId w:val="0"/>
        </w:numPr>
        <w:spacing w:before="0"/>
        <w:ind w:left="360"/>
        <w:contextualSpacing w:val="1"/>
        <w:rPr>
          <w:i w:val="1"/>
        </w:rPr>
      </w:pPr>
      <w:r>
        <w:t xml:space="preserve">  гипохлорит натрия</w:t>
      </w:r>
      <w:r>
        <w:rPr>
          <w:i w:val="1"/>
        </w:rPr>
        <w:t xml:space="preserve"> (0,5%)</w:t>
      </w:r>
      <w:r>
        <w:t xml:space="preserve"> (АХТ-A01AB)</w:t>
      </w:r>
    </w:p>
    <w:p w14:paraId="F8010000">
      <w:pPr>
        <w:pStyle w:val="Style_24"/>
        <w:widowControl w:val="1"/>
        <w:numPr>
          <w:ilvl w:val="0"/>
          <w:numId w:val="0"/>
        </w:numPr>
        <w:spacing w:before="0"/>
        <w:ind w:firstLine="218" w:left="142"/>
        <w:contextualSpacing w:val="1"/>
        <w:rPr>
          <w:i w:val="1"/>
        </w:rPr>
      </w:pPr>
      <w:r>
        <w:rPr>
          <w:i w:val="1"/>
        </w:rPr>
        <w:t xml:space="preserve"> </w:t>
      </w:r>
      <w:r>
        <w:t>хлоргексидина биглюконат</w:t>
      </w:r>
      <w:r>
        <w:t xml:space="preserve"> (0,2-2%)</w:t>
      </w:r>
      <w:r>
        <w:rPr>
          <w:rFonts w:ascii="Calibri" w:hAnsi="Calibri"/>
        </w:rPr>
        <w:t>.</w:t>
      </w:r>
      <w:r>
        <w:rPr>
          <w:rFonts w:ascii="Arial" w:hAnsi="Arial"/>
          <w:color w:val="000000"/>
          <w:sz w:val="18"/>
        </w:rPr>
        <w:t xml:space="preserve"> </w:t>
      </w:r>
      <w:r>
        <w:rPr>
          <w:rFonts w:ascii="Arial" w:hAnsi="Arial"/>
          <w:color w:val="000000"/>
          <w:sz w:val="18"/>
        </w:rPr>
        <w:t>(</w:t>
      </w:r>
      <w:r>
        <w:rPr>
          <w:i w:val="1"/>
          <w:color w:val="000000"/>
        </w:rPr>
        <w:t>АХТ-</w:t>
      </w:r>
      <w:r>
        <w:rPr>
          <w:i w:val="1"/>
        </w:rPr>
        <w:t>A01AB03</w:t>
      </w:r>
      <w:r>
        <w:rPr>
          <w:rFonts w:ascii="Calibri" w:hAnsi="Calibri"/>
        </w:rPr>
        <w:t> </w:t>
      </w:r>
      <w:r>
        <w:rPr>
          <w:rFonts w:ascii="Calibri" w:hAnsi="Calibri"/>
        </w:rPr>
        <w:t>)</w:t>
      </w:r>
    </w:p>
    <w:p w14:paraId="F9010000">
      <w:pPr>
        <w:pStyle w:val="Style_21"/>
        <w:widowControl w:val="1"/>
        <w:numPr>
          <w:ilvl w:val="0"/>
          <w:numId w:val="0"/>
        </w:numPr>
        <w:spacing w:before="0"/>
        <w:ind/>
        <w:contextualSpacing w:val="1"/>
      </w:pPr>
      <w:r>
        <w:t>[1, 7, 247, 248]</w:t>
      </w:r>
      <w:r>
        <w:t>:</w:t>
      </w:r>
    </w:p>
    <w:p w14:paraId="FA010000">
      <w:pPr>
        <w:widowControl w:val="1"/>
        <w:ind w:firstLine="0" w:left="709"/>
        <w:contextualSpacing w:val="1"/>
        <w:rPr>
          <w:b w:val="1"/>
        </w:rPr>
      </w:pPr>
      <w:r>
        <w:rPr>
          <w:b w:val="1"/>
        </w:rPr>
        <w:t>Уровень убедительности рекомендаций В (уровень достоверности доказательств – 2)</w:t>
      </w:r>
    </w:p>
    <w:p w14:paraId="FB010000">
      <w:pPr>
        <w:pStyle w:val="Style_21"/>
        <w:rPr>
          <w:color w:val="333333"/>
          <w:highlight w:val="white"/>
        </w:rPr>
      </w:pPr>
      <w:r>
        <w:t>Рекомендуется</w:t>
      </w:r>
      <w:r>
        <w:t xml:space="preserve"> на этапе лечения </w:t>
      </w:r>
      <w:r>
        <w:rPr>
          <w:i w:val="1"/>
        </w:rPr>
        <w:t>кариес</w:t>
      </w:r>
      <w:r>
        <w:rPr>
          <w:i w:val="1"/>
        </w:rPr>
        <w:t>а</w:t>
      </w:r>
      <w:r>
        <w:rPr>
          <w:i w:val="1"/>
        </w:rPr>
        <w:t xml:space="preserve"> </w:t>
      </w:r>
      <w:r>
        <w:rPr>
          <w:i w:val="1"/>
        </w:rPr>
        <w:t>с обнажением пульпы (К02.5)</w:t>
      </w:r>
      <w:r>
        <w:rPr>
          <w:i w:val="1"/>
        </w:rPr>
        <w:t xml:space="preserve">, </w:t>
      </w:r>
      <w:r>
        <w:rPr>
          <w:i w:val="1"/>
        </w:rPr>
        <w:t>после антисептической обработки полости</w:t>
      </w:r>
      <w:r>
        <w:rPr>
          <w:i w:val="1"/>
        </w:rPr>
        <w:t xml:space="preserve">, </w:t>
      </w:r>
      <w:r>
        <w:rPr>
          <w:i w:val="1"/>
        </w:rPr>
        <w:t xml:space="preserve"> </w:t>
      </w:r>
      <w:r>
        <w:t>с целью стимуляции репаративного дентиногенеза</w:t>
      </w:r>
      <w:r>
        <w:t xml:space="preserve"> для покрытия пульпы зуба </w:t>
      </w:r>
      <w:r>
        <w:t xml:space="preserve">использовать следующие </w:t>
      </w:r>
      <w:r>
        <w:t>стоматологические материалы</w:t>
      </w:r>
      <w:r>
        <w:t>:</w:t>
      </w:r>
      <w:r>
        <w:t xml:space="preserve"> </w:t>
      </w:r>
      <w:r>
        <w:t>цемент</w:t>
      </w:r>
      <w:r>
        <w:t>ы</w:t>
      </w:r>
      <w:r>
        <w:t xml:space="preserve"> на основе минерального триоксидного агрегата</w:t>
      </w:r>
      <w:r>
        <w:t xml:space="preserve"> (МТА)</w:t>
      </w:r>
      <w:r>
        <w:t xml:space="preserve"> или силиката кальция</w:t>
      </w:r>
      <w:r>
        <w:t>,</w:t>
      </w:r>
      <w:r>
        <w:t xml:space="preserve"> или гидроокиси кальция,</w:t>
      </w:r>
      <w:r>
        <w:t xml:space="preserve"> </w:t>
      </w:r>
      <w:r>
        <w:rPr>
          <w:color w:val="333333"/>
          <w:highlight w:val="white"/>
        </w:rPr>
        <w:t>кальций-алюмосиликатны</w:t>
      </w:r>
      <w:r>
        <w:rPr>
          <w:color w:val="333333"/>
          <w:highlight w:val="white"/>
        </w:rPr>
        <w:t>е</w:t>
      </w:r>
      <w:r>
        <w:rPr>
          <w:color w:val="333333"/>
          <w:highlight w:val="white"/>
        </w:rPr>
        <w:t xml:space="preserve"> цемент</w:t>
      </w:r>
      <w:r>
        <w:rPr>
          <w:color w:val="333333"/>
          <w:highlight w:val="white"/>
        </w:rPr>
        <w:t>ы</w:t>
      </w:r>
      <w:r>
        <w:rPr>
          <w:color w:val="333333"/>
          <w:highlight w:val="white"/>
        </w:rPr>
        <w:t xml:space="preserve"> или биосиликатных материалов</w:t>
      </w:r>
      <w:r>
        <w:t>.</w:t>
      </w:r>
      <w:r>
        <w:rPr>
          <w:rFonts w:ascii="Arial" w:hAnsi="Arial"/>
          <w:color w:val="333333"/>
          <w:sz w:val="20"/>
        </w:rPr>
        <w:t xml:space="preserve"> </w:t>
      </w:r>
      <w:r>
        <w:t>[251-2</w:t>
      </w:r>
      <w:r>
        <w:t>60</w:t>
      </w:r>
      <w:r>
        <w:t>]</w:t>
      </w:r>
      <w:r>
        <w:rPr>
          <w:rFonts w:ascii="Arial" w:hAnsi="Arial"/>
          <w:color w:val="333333"/>
          <w:sz w:val="20"/>
        </w:rPr>
        <w:t xml:space="preserve"> </w:t>
      </w:r>
      <w:r>
        <w:rPr>
          <w:rFonts w:ascii="Arial" w:hAnsi="Arial"/>
          <w:color w:val="333333"/>
          <w:sz w:val="20"/>
        </w:rPr>
        <w:t>(</w:t>
      </w:r>
      <w:r>
        <w:t>A01A</w:t>
      </w:r>
      <w:r>
        <w:t>)</w:t>
      </w:r>
      <w:r>
        <w:t>. Накладываются точечно на дно кариозной полости.</w:t>
      </w:r>
    </w:p>
    <w:p w14:paraId="FC010000">
      <w:pPr>
        <w:pStyle w:val="Style_23"/>
      </w:pPr>
      <w:r>
        <w:t xml:space="preserve">Уровень убедительности рекомендаций </w:t>
      </w:r>
      <w:r>
        <w:t>A</w:t>
      </w:r>
      <w:r>
        <w:t xml:space="preserve"> (уровень достоверности доказательств – </w:t>
      </w:r>
      <w:r>
        <w:t>1</w:t>
      </w:r>
      <w:r>
        <w:t>)</w:t>
      </w:r>
    </w:p>
    <w:p w14:paraId="FD010000">
      <w:pPr>
        <w:pStyle w:val="Style_22"/>
        <w:widowControl w:val="1"/>
        <w:ind w:firstLine="709" w:left="0"/>
      </w:pPr>
      <w:r>
        <w:rPr>
          <w:b w:val="1"/>
        </w:rPr>
        <w:t>Комментарии:</w:t>
      </w:r>
      <w:r>
        <w:t xml:space="preserve"> </w:t>
      </w:r>
      <w:r>
        <w:t>эффективност</w:t>
      </w:r>
      <w:r>
        <w:t>ь</w:t>
      </w:r>
      <w:r>
        <w:t xml:space="preserve"> </w:t>
      </w:r>
      <w:r>
        <w:t>использовани</w:t>
      </w:r>
      <w:r>
        <w:t>я</w:t>
      </w:r>
      <w:r>
        <w:t xml:space="preserve"> </w:t>
      </w:r>
      <w:r>
        <w:t>МТА</w:t>
      </w:r>
      <w:r>
        <w:t xml:space="preserve"> </w:t>
      </w:r>
      <w:r>
        <w:t>через 2 года после проведенного лечения достоверно выше, чем при использовании препаратов на основе гидроокиси кальция (85,0% против 43,0%)</w:t>
      </w:r>
      <w:r>
        <w:t>.</w:t>
      </w:r>
    </w:p>
    <w:p w14:paraId="FE010000">
      <w:pPr>
        <w:pStyle w:val="Style_22"/>
        <w:widowControl w:val="1"/>
        <w:ind w:firstLine="709" w:left="0"/>
      </w:pPr>
      <w:r>
        <w:t xml:space="preserve">Препараты на основе гидроокиси кальция </w:t>
      </w:r>
      <w:r>
        <w:t xml:space="preserve"> рекомендуется </w:t>
      </w:r>
      <w:r>
        <w:t>применять с двух этапной техникой</w:t>
      </w:r>
      <w:r>
        <w:t xml:space="preserve"> и изолирующей прокладкой.</w:t>
      </w:r>
      <w:r>
        <w:t xml:space="preserve"> </w:t>
      </w:r>
    </w:p>
    <w:p w14:paraId="FF010000">
      <w:pPr>
        <w:pStyle w:val="Style_21"/>
        <w:widowControl w:val="1"/>
        <w:tabs>
          <w:tab w:leader="none" w:pos="0" w:val="left"/>
          <w:tab w:leader="none" w:pos="360" w:val="clear"/>
        </w:tabs>
        <w:ind w:firstLine="0" w:left="0"/>
        <w:rPr>
          <w:rStyle w:val="Style_27_ch"/>
        </w:rPr>
      </w:pPr>
      <w:r>
        <w:t>Рекомендуется пациенту с</w:t>
      </w:r>
      <w:r>
        <w:t xml:space="preserve"> диагнозом «</w:t>
      </w:r>
      <w:r>
        <w:rPr>
          <w:i w:val="1"/>
        </w:rPr>
        <w:t>К</w:t>
      </w:r>
      <w:r>
        <w:rPr>
          <w:i w:val="1"/>
        </w:rPr>
        <w:t>ариес с обнажением пульпы</w:t>
      </w:r>
      <w:r>
        <w:rPr>
          <w:i w:val="1"/>
        </w:rPr>
        <w:t>“</w:t>
      </w:r>
      <w:r>
        <w:rPr>
          <w:i w:val="1"/>
        </w:rPr>
        <w:t xml:space="preserve"> </w:t>
      </w:r>
      <w:r>
        <w:rPr>
          <w:i w:val="1"/>
        </w:rPr>
        <w:t xml:space="preserve">(К02.5) </w:t>
      </w:r>
      <w:r>
        <w:t>после этапа препарирования</w:t>
      </w:r>
      <w:r>
        <w:t xml:space="preserve"> </w:t>
      </w:r>
      <w:r>
        <w:t>и наложения лечебной и изолирующей подкладки</w:t>
      </w:r>
      <w:r>
        <w:rPr>
          <w:i w:val="1"/>
        </w:rPr>
        <w:t xml:space="preserve"> </w:t>
      </w:r>
      <w:r>
        <w:t>провести оценку степени разрушения коронки зуба по индексу ИРОПЗ</w:t>
      </w:r>
      <w:r>
        <w:t xml:space="preserve"> </w:t>
      </w:r>
      <w:r>
        <w:t>для выбора оптимального метода восстановления анатомической формы. Метод</w:t>
      </w:r>
      <w:r>
        <w:t xml:space="preserve"> пломбирования </w:t>
      </w:r>
      <w:r>
        <w:t>рекомендуется использовать для восстановления коронки зуба при степени ее кариозного разрушения, соответствующе</w:t>
      </w:r>
      <w:r>
        <w:t>й</w:t>
      </w:r>
      <w:r>
        <w:t xml:space="preserve"> индексу</w:t>
      </w:r>
      <w:r>
        <w:t xml:space="preserve"> ИРОПЗ</w:t>
      </w:r>
      <w:r>
        <w:t>=</w:t>
      </w:r>
      <w:r>
        <w:t>0,2-0,4.</w:t>
      </w:r>
      <w:r>
        <w:t xml:space="preserve"> </w:t>
      </w:r>
      <w:bookmarkStart w:id="44" w:name="_Hlk92506573"/>
      <w:r>
        <w:t xml:space="preserve">Восстановление коронки зуба протетическими конструкциями показано при индексе ИРОПЗ более 0,4: изготовление вкладок (из металла, керамики, </w:t>
      </w:r>
      <w:r>
        <w:t>композитных материалов) – при 0,4</w:t>
      </w:r>
      <w:r>
        <w:t>&lt;</w:t>
      </w:r>
      <w:r>
        <w:t>ИРОПЗ</w:t>
      </w:r>
      <w:r>
        <w:t>&lt;0,6</w:t>
      </w:r>
      <w:r>
        <w:rPr>
          <w:rStyle w:val="Style_27_ch"/>
        </w:rPr>
        <w:t>; изготовление искусственных коронок – при 0,6 </w:t>
      </w:r>
      <w:r>
        <w:rPr>
          <w:rStyle w:val="Style_27_ch"/>
        </w:rPr>
        <w:t>&lt;</w:t>
      </w:r>
      <w:r>
        <w:rPr>
          <w:rStyle w:val="Style_27_ch"/>
        </w:rPr>
        <w:t> ИРОПЗ </w:t>
      </w:r>
      <w:r>
        <w:rPr>
          <w:rStyle w:val="Style_27_ch"/>
        </w:rPr>
        <w:t>&lt;</w:t>
      </w:r>
      <w:r>
        <w:rPr>
          <w:rStyle w:val="Style_27_ch"/>
        </w:rPr>
        <w:t> 0,8;</w:t>
      </w:r>
    </w:p>
    <w:p w14:paraId="00020000">
      <w:pPr>
        <w:pStyle w:val="Style_21"/>
        <w:numPr>
          <w:ilvl w:val="0"/>
          <w:numId w:val="0"/>
        </w:numPr>
      </w:pPr>
      <w:r>
        <w:rPr>
          <w:rStyle w:val="Style_27_ch"/>
        </w:rPr>
        <w:t xml:space="preserve"> </w:t>
      </w:r>
      <w:bookmarkEnd w:id="44"/>
      <w:r>
        <w:rPr>
          <w:b w:val="1"/>
        </w:rPr>
        <w:t xml:space="preserve">Уровень убедительности </w:t>
      </w:r>
      <w:r>
        <w:rPr>
          <w:b w:val="1"/>
        </w:rPr>
        <w:t>B</w:t>
      </w:r>
      <w:r>
        <w:rPr>
          <w:b w:val="1"/>
        </w:rPr>
        <w:t xml:space="preserve"> (уровень достоверности доказательств – 2) </w:t>
      </w:r>
    </w:p>
    <w:p w14:paraId="01020000">
      <w:pPr>
        <w:pStyle w:val="Style_21"/>
        <w:widowControl w:val="1"/>
        <w:tabs>
          <w:tab w:leader="none" w:pos="0" w:val="left"/>
          <w:tab w:leader="none" w:pos="360" w:val="clear"/>
        </w:tabs>
        <w:ind w:firstLine="0" w:left="0"/>
      </w:pPr>
      <w:r>
        <w:t>Рекомендуется пациенту с</w:t>
      </w:r>
      <w:r>
        <w:t xml:space="preserve"> диагнозом </w:t>
      </w:r>
      <w:r>
        <w:t>“</w:t>
      </w:r>
      <w:r>
        <w:t xml:space="preserve"> </w:t>
      </w:r>
      <w:r>
        <w:rPr>
          <w:i w:val="1"/>
        </w:rPr>
        <w:t>К</w:t>
      </w:r>
      <w:r>
        <w:rPr>
          <w:i w:val="1"/>
        </w:rPr>
        <w:t>ариес</w:t>
      </w:r>
      <w:r>
        <w:rPr>
          <w:i w:val="1"/>
        </w:rPr>
        <w:t xml:space="preserve"> </w:t>
      </w:r>
      <w:r>
        <w:rPr>
          <w:i w:val="1"/>
        </w:rPr>
        <w:t>с обнажением пульпы</w:t>
      </w:r>
      <w:r>
        <w:rPr>
          <w:i w:val="1"/>
        </w:rPr>
        <w:t>”</w:t>
      </w:r>
      <w:r>
        <w:rPr>
          <w:i w:val="1"/>
        </w:rPr>
        <w:t xml:space="preserve"> (К02.5) </w:t>
      </w:r>
      <w:r>
        <w:t xml:space="preserve">при </w:t>
      </w:r>
      <w:r>
        <w:t>незначительн</w:t>
      </w:r>
      <w:r>
        <w:t>о</w:t>
      </w:r>
      <w:r>
        <w:t>м разрушени</w:t>
      </w:r>
      <w:r>
        <w:t>и</w:t>
      </w:r>
      <w:r>
        <w:t xml:space="preserve"> коронки </w:t>
      </w:r>
      <w:r>
        <w:t>(</w:t>
      </w:r>
      <w:r>
        <w:t>индекс ИРОПЗ</w:t>
      </w:r>
      <w:r>
        <w:t xml:space="preserve"> </w:t>
      </w:r>
      <w:r>
        <w:t xml:space="preserve">0,2-0,4) проводить пломбирование полости прямым способом. Выбор пломбировочного / реставрационного материала и методики пломбирования проводить с учетом анатомо-топографических особенностей кариозной полости, групповой принадлежности зуба, состояния стоматологического и системного статуса пациента, его фармакологического анамнеза и предпочтений </w:t>
      </w:r>
      <w:r>
        <w:t xml:space="preserve"> [2, 6-8, </w:t>
      </w:r>
      <w:r>
        <w:t>232</w:t>
      </w:r>
      <w:r>
        <w:t>]</w:t>
      </w:r>
      <w:r>
        <w:t>.</w:t>
      </w:r>
    </w:p>
    <w:p w14:paraId="02020000">
      <w:pPr>
        <w:pStyle w:val="Style_23"/>
      </w:pPr>
      <w:r>
        <w:t xml:space="preserve">Уровень убедительности </w:t>
      </w:r>
      <w:r>
        <w:t>B</w:t>
      </w:r>
      <w:r>
        <w:t xml:space="preserve"> (уровень достоверности доказательств – </w:t>
      </w:r>
      <w:r>
        <w:t>2</w:t>
      </w:r>
      <w:r>
        <w:t xml:space="preserve">) </w:t>
      </w:r>
    </w:p>
    <w:p w14:paraId="03020000">
      <w:pPr>
        <w:pStyle w:val="Style_21"/>
        <w:widowControl w:val="1"/>
        <w:tabs>
          <w:tab w:leader="none" w:pos="0" w:val="left"/>
          <w:tab w:leader="none" w:pos="360" w:val="clear"/>
        </w:tabs>
        <w:ind w:firstLine="0" w:left="0"/>
      </w:pPr>
      <w:r>
        <w:t>Рекомендуется у пациент</w:t>
      </w:r>
      <w:r>
        <w:t>а</w:t>
      </w:r>
      <w:r>
        <w:t xml:space="preserve"> с</w:t>
      </w:r>
      <w:r>
        <w:t xml:space="preserve"> диагнозом</w:t>
      </w:r>
      <w:r>
        <w:t xml:space="preserve"> </w:t>
      </w:r>
      <w:r>
        <w:t>“</w:t>
      </w:r>
      <w:r>
        <w:rPr>
          <w:i w:val="1"/>
        </w:rPr>
        <w:t>К</w:t>
      </w:r>
      <w:r>
        <w:rPr>
          <w:i w:val="1"/>
        </w:rPr>
        <w:t>ариес</w:t>
      </w:r>
      <w:r>
        <w:rPr>
          <w:i w:val="1"/>
        </w:rPr>
        <w:t xml:space="preserve"> c</w:t>
      </w:r>
      <w:r>
        <w:rPr>
          <w:i w:val="1"/>
        </w:rPr>
        <w:t xml:space="preserve"> обнажением пульпы</w:t>
      </w:r>
      <w:r>
        <w:rPr>
          <w:i w:val="1"/>
        </w:rPr>
        <w:t>»</w:t>
      </w:r>
      <w:r>
        <w:rPr>
          <w:i w:val="1"/>
        </w:rPr>
        <w:t xml:space="preserve"> (К02.5)</w:t>
      </w:r>
      <w:r>
        <w:t xml:space="preserve"> проведение финишной обработки пломбы / реставрации и постбондинга</w:t>
      </w:r>
      <w:r>
        <w:t xml:space="preserve"> </w:t>
      </w:r>
      <w:r>
        <w:t xml:space="preserve">для придания эстетического вида и продления срока службы реставраций </w:t>
      </w:r>
      <w:r>
        <w:t>[</w:t>
      </w:r>
      <w:r>
        <w:t>1, 2, 8, 233-238</w:t>
      </w:r>
      <w:r>
        <w:t>]</w:t>
      </w:r>
      <w:r>
        <w:t>.</w:t>
      </w:r>
    </w:p>
    <w:p w14:paraId="04020000">
      <w:pPr>
        <w:pStyle w:val="Style_23"/>
      </w:pPr>
      <w:r>
        <w:t xml:space="preserve">Уровень убедительности </w:t>
      </w:r>
      <w:r>
        <w:t>А</w:t>
      </w:r>
      <w:r>
        <w:t xml:space="preserve"> (уровень достоверности доказательств – </w:t>
      </w:r>
      <w:r>
        <w:t>1</w:t>
      </w:r>
      <w:r>
        <w:t xml:space="preserve">) </w:t>
      </w:r>
    </w:p>
    <w:p w14:paraId="05020000">
      <w:pPr>
        <w:pStyle w:val="Style_21"/>
        <w:widowControl w:val="1"/>
        <w:tabs>
          <w:tab w:leader="none" w:pos="0" w:val="left"/>
          <w:tab w:leader="none" w:pos="360" w:val="clear"/>
        </w:tabs>
        <w:ind w:firstLine="0" w:left="0"/>
      </w:pPr>
      <w:r>
        <w:t xml:space="preserve">Рекомендуется </w:t>
      </w:r>
      <w:r>
        <w:t xml:space="preserve"> в отдаленные сроки после проведенного лечения пациента </w:t>
      </w:r>
      <w:r>
        <w:t>проведение повторной оценки реставраций с оценкой следующих критериев: сохранность краевой адаптации материала</w:t>
      </w:r>
      <w:r>
        <w:t xml:space="preserve"> и</w:t>
      </w:r>
      <w:r>
        <w:t xml:space="preserve"> анатомической формы реставрации</w:t>
      </w:r>
      <w:r>
        <w:t>;</w:t>
      </w:r>
      <w:r>
        <w:t xml:space="preserve"> цветостабильност</w:t>
      </w:r>
      <w:r>
        <w:t>ь</w:t>
      </w:r>
      <w:r>
        <w:t>;</w:t>
      </w:r>
      <w:r>
        <w:t xml:space="preserve"> качеств</w:t>
      </w:r>
      <w:r>
        <w:t>о</w:t>
      </w:r>
      <w:r>
        <w:t xml:space="preserve"> поверхности реставрации и краев полости</w:t>
      </w:r>
      <w:r>
        <w:t>;</w:t>
      </w:r>
      <w:r>
        <w:t xml:space="preserve"> наличие вторичного кариеса (</w:t>
      </w:r>
      <w:r>
        <w:rPr>
          <w:i w:val="1"/>
          <w:color w:themeColor="accent5" w:val="4472C4"/>
        </w:rPr>
        <w:t>Приложение Г</w:t>
      </w:r>
      <w:r>
        <w:rPr>
          <w:i w:val="1"/>
          <w:color w:themeColor="accent5" w:val="4472C4"/>
        </w:rPr>
        <w:t>7</w:t>
      </w:r>
      <w:r>
        <w:t>)</w:t>
      </w:r>
      <w:r>
        <w:t xml:space="preserve"> [232, 239-242].</w:t>
      </w:r>
    </w:p>
    <w:p w14:paraId="06020000">
      <w:pPr>
        <w:pStyle w:val="Style_23"/>
      </w:pPr>
      <w:r>
        <w:t xml:space="preserve">Уровень убедительности </w:t>
      </w:r>
      <w:r>
        <w:t>А</w:t>
      </w:r>
      <w:r>
        <w:t xml:space="preserve"> (уровень достоверности доказательств – </w:t>
      </w:r>
      <w:r>
        <w:t>1</w:t>
      </w:r>
      <w:r>
        <w:t xml:space="preserve">) </w:t>
      </w:r>
    </w:p>
    <w:p w14:paraId="07020000">
      <w:pPr>
        <w:pStyle w:val="Style_23"/>
      </w:pPr>
    </w:p>
    <w:p w14:paraId="08020000">
      <w:bookmarkStart w:id="45" w:name="__RefHeading___28"/>
      <w:bookmarkEnd w:id="45"/>
      <w:pPr>
        <w:pStyle w:val="Style_18"/>
      </w:pPr>
      <w:r>
        <w:t xml:space="preserve">3.4 Иное </w:t>
      </w:r>
      <w:r>
        <w:t>л</w:t>
      </w:r>
      <w:r>
        <w:t>ечение</w:t>
      </w:r>
    </w:p>
    <w:p w14:paraId="09020000">
      <w:pPr>
        <w:pStyle w:val="Style_21"/>
        <w:widowControl w:val="1"/>
        <w:tabs>
          <w:tab w:leader="none" w:pos="360" w:val="clear"/>
        </w:tabs>
        <w:ind w:firstLine="0" w:left="0"/>
      </w:pPr>
      <w:r>
        <w:t xml:space="preserve">Рекомендуется </w:t>
      </w:r>
      <w:r>
        <w:t>проведение</w:t>
      </w:r>
      <w:r>
        <w:rPr>
          <w:highlight w:val="white"/>
        </w:rPr>
        <w:t xml:space="preserve"> </w:t>
      </w:r>
      <w:r>
        <w:rPr>
          <w:highlight w:val="white"/>
        </w:rPr>
        <w:t xml:space="preserve">мероприятий, направленных на повышение выносливости и стойкости организма к воздействию общих неблагоприятных факторов: лечение </w:t>
      </w:r>
      <w:r>
        <w:rPr>
          <w:highlight w:val="white"/>
        </w:rPr>
        <w:t>системных</w:t>
      </w:r>
      <w:r>
        <w:rPr>
          <w:highlight w:val="white"/>
        </w:rPr>
        <w:t xml:space="preserve"> заболеваний, создающих условия для более активного течения кариеса зубов, а также общеукрепляющее медикаментозное лечение (витаминотерапия и др.) </w:t>
      </w:r>
      <w:r>
        <w:rPr>
          <w:highlight w:val="white"/>
        </w:rPr>
        <w:t>[1, 6, 9]</w:t>
      </w:r>
      <w:r>
        <w:t>.</w:t>
      </w:r>
    </w:p>
    <w:p w14:paraId="0A020000">
      <w:pPr>
        <w:pStyle w:val="Style_23"/>
      </w:pPr>
      <w:r>
        <w:t xml:space="preserve">Уровень убедительности </w:t>
      </w:r>
      <w:r>
        <w:t>А</w:t>
      </w:r>
      <w:r>
        <w:t xml:space="preserve"> (уровень достоверности доказательств – </w:t>
      </w:r>
      <w:r>
        <w:t>1</w:t>
      </w:r>
      <w:r>
        <w:t xml:space="preserve">) </w:t>
      </w:r>
    </w:p>
    <w:p w14:paraId="0B020000">
      <w:bookmarkStart w:id="46" w:name="__RefHeading___29"/>
      <w:bookmarkEnd w:id="46"/>
      <w:pPr>
        <w:pStyle w:val="Style_8"/>
      </w:pPr>
      <w:r>
        <w:t>VIII</w:t>
      </w:r>
      <w:r>
        <w:t xml:space="preserve">. </w:t>
      </w:r>
      <w:r>
        <w:t>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bookmarkEnd w:id="33"/>
    </w:p>
    <w:p w14:paraId="0C020000">
      <w:bookmarkStart w:id="47" w:name="__RefHeading___30"/>
      <w:bookmarkEnd w:id="47"/>
      <w:pPr>
        <w:pStyle w:val="Style_8"/>
        <w:widowControl w:val="1"/>
        <w:ind/>
        <w:jc w:val="left"/>
        <w:rPr>
          <w:b w:val="0"/>
          <w:sz w:val="24"/>
        </w:rPr>
      </w:pPr>
      <w:bookmarkStart w:id="48" w:name="__RefHeading___doc_5"/>
      <w:r>
        <w:rPr>
          <w:b w:val="0"/>
          <w:sz w:val="24"/>
        </w:rPr>
        <w:t>Специфические реабилитационные мероприятия в отношении пациентов с заболеванием «</w:t>
      </w:r>
      <w:r>
        <w:rPr>
          <w:b w:val="0"/>
          <w:sz w:val="24"/>
        </w:rPr>
        <w:t>К</w:t>
      </w:r>
      <w:r>
        <w:rPr>
          <w:b w:val="0"/>
          <w:sz w:val="24"/>
        </w:rPr>
        <w:t>ариес зубов» не разработаны.</w:t>
      </w:r>
      <w:bookmarkEnd w:id="48"/>
    </w:p>
    <w:p w14:paraId="0D020000">
      <w:bookmarkStart w:id="49" w:name="__RefHeading___31"/>
      <w:bookmarkEnd w:id="49"/>
      <w:pPr>
        <w:pStyle w:val="Style_8"/>
      </w:pPr>
      <w:bookmarkStart w:id="50" w:name="__RefHeading___doc_6"/>
      <w:r>
        <w:rPr>
          <w:rStyle w:val="Style_26_ch"/>
          <w:color w:val="000000"/>
          <w:u w:val="none"/>
        </w:rPr>
        <w:t>IX</w:t>
      </w:r>
      <w:r>
        <w:rPr>
          <w:rStyle w:val="Style_26_ch"/>
          <w:color w:val="000000"/>
          <w:u w:val="none"/>
        </w:rPr>
        <w:t>. Профилактика и диспансерное наблюдение медицинские показания и противопоказания к применению методов профилактики</w:t>
      </w:r>
      <w:r>
        <w:rPr>
          <w:rStyle w:val="Style_26_ch"/>
          <w:color w:val="000000"/>
          <w:u w:val="none"/>
        </w:rPr>
        <w:tab/>
      </w:r>
    </w:p>
    <w:p w14:paraId="0E020000">
      <w:bookmarkStart w:id="51" w:name="__RefHeading___32"/>
      <w:bookmarkEnd w:id="51"/>
      <w:pPr>
        <w:pStyle w:val="Style_8"/>
        <w:widowControl w:val="1"/>
        <w:ind/>
        <w:jc w:val="left"/>
        <w:rPr>
          <w:b w:val="0"/>
          <w:sz w:val="24"/>
        </w:rPr>
      </w:pPr>
      <w:r>
        <w:rPr>
          <w:b w:val="0"/>
          <w:sz w:val="24"/>
        </w:rPr>
        <w:t xml:space="preserve">Существуют следующие профилактические меры при </w:t>
      </w:r>
      <w:r>
        <w:rPr>
          <w:b w:val="0"/>
          <w:sz w:val="24"/>
        </w:rPr>
        <w:t>КЗ</w:t>
      </w:r>
      <w:r>
        <w:rPr>
          <w:b w:val="0"/>
          <w:sz w:val="24"/>
        </w:rPr>
        <w:t>: коммунальные и индивидуальные. Коммунальные методы осуществляются на уровне государства и включают частичное или тотальное фторирование воды, соли, молока [1, 261].</w:t>
      </w:r>
    </w:p>
    <w:p w14:paraId="0F020000">
      <w:pPr>
        <w:pStyle w:val="Style_24"/>
        <w:widowControl w:val="1"/>
        <w:tabs>
          <w:tab w:leader="none" w:pos="360" w:val="clear"/>
          <w:tab w:leader="none" w:pos="9355" w:val="left"/>
        </w:tabs>
        <w:ind w:firstLine="0" w:left="0"/>
      </w:pPr>
      <w:r>
        <w:t>Рекомендуется на уровне клинического приёма проводить</w:t>
      </w:r>
      <w:r>
        <w:t xml:space="preserve"> индивидуальную </w:t>
      </w:r>
      <w:r>
        <w:t xml:space="preserve">профилактику </w:t>
      </w:r>
      <w:r>
        <w:t>КЗ</w:t>
      </w:r>
      <w:r>
        <w:t xml:space="preserve">. </w:t>
      </w:r>
      <w:r>
        <w:t xml:space="preserve">Индивидуальные профилактические мероприятия следует проводить комплексно, включая профессиональную </w:t>
      </w:r>
      <w:r>
        <w:t>ГПР</w:t>
      </w:r>
      <w:r>
        <w:t xml:space="preserve"> с </w:t>
      </w:r>
      <w:r>
        <w:t>индивидуальн</w:t>
      </w:r>
      <w:r>
        <w:t>ыми</w:t>
      </w:r>
      <w:r>
        <w:t xml:space="preserve"> рекомендаци</w:t>
      </w:r>
      <w:r>
        <w:t>ями выбора</w:t>
      </w:r>
      <w:r>
        <w:t xml:space="preserve"> средств </w:t>
      </w:r>
      <w:r>
        <w:t>ГПР</w:t>
      </w:r>
      <w:r>
        <w:t xml:space="preserve">, контролируемую чистку зубов, уроки </w:t>
      </w:r>
      <w:r>
        <w:t>ГПР</w:t>
      </w:r>
      <w:r>
        <w:t xml:space="preserve"> для выработки мотивированных форм ухода за </w:t>
      </w:r>
      <w:r>
        <w:t>ПР</w:t>
      </w:r>
      <w:r>
        <w:t xml:space="preserve">, местную флюоризацию зубов и эндогенную фторпрофилактику </w:t>
      </w:r>
      <w:r>
        <w:t>[1, 261</w:t>
      </w:r>
      <w:r>
        <w:t>-264</w:t>
      </w:r>
      <w:r>
        <w:t>]</w:t>
      </w:r>
      <w:r>
        <w:t>.</w:t>
      </w:r>
    </w:p>
    <w:p w14:paraId="10020000">
      <w:pPr>
        <w:pStyle w:val="Style_23"/>
      </w:pPr>
      <w:r>
        <w:t xml:space="preserve">Уровень убедительности рекомендаций </w:t>
      </w:r>
      <w:r>
        <w:t>A</w:t>
      </w:r>
      <w:r>
        <w:t xml:space="preserve"> (уровень достоверности доказательств – </w:t>
      </w:r>
      <w:r>
        <w:t>1</w:t>
      </w:r>
      <w:r>
        <w:t>)</w:t>
      </w:r>
    </w:p>
    <w:p w14:paraId="11020000">
      <w:pPr>
        <w:pStyle w:val="Style_24"/>
        <w:widowControl w:val="1"/>
        <w:tabs>
          <w:tab w:leader="none" w:pos="0" w:val="left"/>
          <w:tab w:leader="none" w:pos="360" w:val="clear"/>
        </w:tabs>
        <w:ind w:firstLine="0" w:left="0"/>
      </w:pPr>
      <w:r>
        <w:rPr>
          <w:highlight w:val="white"/>
        </w:rPr>
        <w:t xml:space="preserve">Рекомендуется </w:t>
      </w:r>
      <w:r>
        <w:t>проводить</w:t>
      </w:r>
      <w:r>
        <w:t xml:space="preserve"> программы </w:t>
      </w:r>
      <w:r>
        <w:t xml:space="preserve">индивидуальной профилактики </w:t>
      </w:r>
      <w:r>
        <w:t>КЗ</w:t>
      </w:r>
      <w:r>
        <w:t xml:space="preserve"> </w:t>
      </w:r>
      <w:r>
        <w:t xml:space="preserve">при регулярном осмотре врача-гигиениста, </w:t>
      </w:r>
      <w:r>
        <w:t xml:space="preserve">не реже одного раза в год, с </w:t>
      </w:r>
      <w:r>
        <w:t>коррекцией профилактических мероприятий</w:t>
      </w:r>
      <w:r>
        <w:t>,</w:t>
      </w:r>
      <w:r>
        <w:t xml:space="preserve"> </w:t>
      </w:r>
      <w:r>
        <w:t>при необходимости</w:t>
      </w:r>
      <w:r>
        <w:t>,</w:t>
      </w:r>
      <w:r>
        <w:t xml:space="preserve"> и</w:t>
      </w:r>
      <w:r>
        <w:t xml:space="preserve"> осуществлени</w:t>
      </w:r>
      <w:r>
        <w:t>ем</w:t>
      </w:r>
      <w:r>
        <w:t xml:space="preserve"> своевременной </w:t>
      </w:r>
      <w:r>
        <w:t xml:space="preserve">комплексной </w:t>
      </w:r>
      <w:r>
        <w:t>санации</w:t>
      </w:r>
      <w:r>
        <w:t xml:space="preserve"> ПР</w:t>
      </w:r>
      <w:r>
        <w:t xml:space="preserve"> </w:t>
      </w:r>
      <w:r>
        <w:t>[1, 9]</w:t>
      </w:r>
      <w:r>
        <w:t xml:space="preserve">. </w:t>
      </w:r>
    </w:p>
    <w:p w14:paraId="12020000">
      <w:pPr>
        <w:pStyle w:val="Style_23"/>
      </w:pPr>
      <w:r>
        <w:t xml:space="preserve">Уровень убедительности рекомендаций </w:t>
      </w:r>
      <w:r>
        <w:t>B</w:t>
      </w:r>
      <w:r>
        <w:t xml:space="preserve"> (уровень достоверности доказательств – </w:t>
      </w:r>
      <w:r>
        <w:t>2</w:t>
      </w:r>
      <w:r>
        <w:t>)</w:t>
      </w:r>
    </w:p>
    <w:p w14:paraId="13020000">
      <w:pPr>
        <w:pStyle w:val="Style_21"/>
      </w:pPr>
      <w:r>
        <w:t>Рекомендуется д</w:t>
      </w:r>
      <w:r>
        <w:t>испансерн</w:t>
      </w:r>
      <w:r>
        <w:t>ый</w:t>
      </w:r>
      <w:r>
        <w:t xml:space="preserve"> уч</w:t>
      </w:r>
      <w:r>
        <w:t>ё</w:t>
      </w:r>
      <w:r>
        <w:t>т и наблюдени</w:t>
      </w:r>
      <w:r>
        <w:t xml:space="preserve">е проводить в группе </w:t>
      </w:r>
      <w:r>
        <w:t>пациент</w:t>
      </w:r>
      <w:r>
        <w:t>ов</w:t>
      </w:r>
      <w:r>
        <w:t>, относящи</w:t>
      </w:r>
      <w:r>
        <w:t>х</w:t>
      </w:r>
      <w:r>
        <w:t>ся к следующим группам риска</w:t>
      </w:r>
      <w:r>
        <w:t xml:space="preserve"> [261-264]</w:t>
      </w:r>
      <w:r>
        <w:t>:</w:t>
      </w:r>
    </w:p>
    <w:p w14:paraId="14020000">
      <w:pPr>
        <w:pStyle w:val="Style_17"/>
        <w:numPr>
          <w:ilvl w:val="0"/>
          <w:numId w:val="10"/>
        </w:numPr>
      </w:pPr>
      <w:r>
        <w:t>беременны</w:t>
      </w:r>
      <w:r>
        <w:t>е</w:t>
      </w:r>
      <w:r>
        <w:t xml:space="preserve"> женщин</w:t>
      </w:r>
      <w:r>
        <w:t>ы</w:t>
      </w:r>
      <w:r>
        <w:t>;</w:t>
      </w:r>
    </w:p>
    <w:p w14:paraId="15020000">
      <w:pPr>
        <w:pStyle w:val="Style_17"/>
        <w:numPr>
          <w:ilvl w:val="0"/>
          <w:numId w:val="10"/>
        </w:numPr>
      </w:pPr>
      <w:r>
        <w:t>дет</w:t>
      </w:r>
      <w:r>
        <w:t>и</w:t>
      </w:r>
      <w:r>
        <w:t xml:space="preserve"> с незавершённой минерализацией фиссур зубов;</w:t>
      </w:r>
    </w:p>
    <w:p w14:paraId="16020000">
      <w:pPr>
        <w:pStyle w:val="Style_17"/>
        <w:numPr>
          <w:ilvl w:val="0"/>
          <w:numId w:val="10"/>
        </w:numPr>
      </w:pPr>
      <w:r>
        <w:t>пациент</w:t>
      </w:r>
      <w:r>
        <w:t>ы</w:t>
      </w:r>
      <w:r>
        <w:t xml:space="preserve"> </w:t>
      </w:r>
      <w:r>
        <w:t xml:space="preserve">с </w:t>
      </w:r>
      <w:r>
        <w:t xml:space="preserve">хронической </w:t>
      </w:r>
      <w:r>
        <w:t>патолог</w:t>
      </w:r>
      <w:r>
        <w:t>ией желудочно-кишечного тракта;</w:t>
      </w:r>
    </w:p>
    <w:p w14:paraId="17020000">
      <w:pPr>
        <w:pStyle w:val="Style_17"/>
        <w:numPr>
          <w:ilvl w:val="0"/>
          <w:numId w:val="10"/>
        </w:numPr>
      </w:pPr>
      <w:r>
        <w:t>пациент</w:t>
      </w:r>
      <w:r>
        <w:t>ы</w:t>
      </w:r>
      <w:r>
        <w:t xml:space="preserve"> с низки</w:t>
      </w:r>
      <w:r>
        <w:t>ми</w:t>
      </w:r>
      <w:r>
        <w:t xml:space="preserve"> значения</w:t>
      </w:r>
      <w:r>
        <w:t>ми</w:t>
      </w:r>
      <w:r>
        <w:t xml:space="preserve"> рН ротовой жидкости</w:t>
      </w:r>
      <w:r>
        <w:t xml:space="preserve"> и низкой реминерализующей способностью ротовой жидкости</w:t>
      </w:r>
      <w:r>
        <w:t>;</w:t>
      </w:r>
    </w:p>
    <w:p w14:paraId="18020000">
      <w:pPr>
        <w:pStyle w:val="Style_17"/>
        <w:numPr>
          <w:ilvl w:val="0"/>
          <w:numId w:val="10"/>
        </w:numPr>
      </w:pPr>
      <w:r>
        <w:t>пациент</w:t>
      </w:r>
      <w:r>
        <w:t>ы</w:t>
      </w:r>
      <w:r>
        <w:t xml:space="preserve"> с плох</w:t>
      </w:r>
      <w:r>
        <w:t>ой</w:t>
      </w:r>
      <w:r>
        <w:t xml:space="preserve"> ГПР;</w:t>
      </w:r>
    </w:p>
    <w:p w14:paraId="19020000">
      <w:pPr>
        <w:pStyle w:val="Style_17"/>
        <w:numPr>
          <w:ilvl w:val="0"/>
          <w:numId w:val="10"/>
        </w:numPr>
      </w:pPr>
      <w:r>
        <w:t>пациент</w:t>
      </w:r>
      <w:r>
        <w:t>ы</w:t>
      </w:r>
      <w:r>
        <w:t xml:space="preserve"> с </w:t>
      </w:r>
      <w:r>
        <w:t>заболевания</w:t>
      </w:r>
      <w:r>
        <w:t>ми</w:t>
      </w:r>
      <w:r>
        <w:t xml:space="preserve"> пародонта;</w:t>
      </w:r>
    </w:p>
    <w:p w14:paraId="1A020000">
      <w:pPr>
        <w:pStyle w:val="Style_17"/>
        <w:numPr>
          <w:ilvl w:val="0"/>
          <w:numId w:val="10"/>
        </w:numPr>
      </w:pPr>
      <w:r>
        <w:t>пациент</w:t>
      </w:r>
      <w:r>
        <w:t>ы</w:t>
      </w:r>
      <w:r>
        <w:t xml:space="preserve"> с показателями </w:t>
      </w:r>
      <w:r>
        <w:t xml:space="preserve">индекса КПУ </w:t>
      </w:r>
      <w:r>
        <w:t>&gt;</w:t>
      </w:r>
      <w:r>
        <w:t xml:space="preserve"> 9 (при </w:t>
      </w:r>
      <w:r>
        <w:t>компоненте «</w:t>
      </w:r>
      <w:r>
        <w:t>П</w:t>
      </w:r>
      <w:r>
        <w:t>»</w:t>
      </w:r>
      <w:r>
        <w:t>=9)</w:t>
      </w:r>
      <w:r>
        <w:t>;</w:t>
      </w:r>
    </w:p>
    <w:p w14:paraId="1B020000">
      <w:pPr>
        <w:pStyle w:val="Style_17"/>
        <w:numPr>
          <w:ilvl w:val="0"/>
          <w:numId w:val="10"/>
        </w:numPr>
      </w:pPr>
      <w:r>
        <w:t>пациент</w:t>
      </w:r>
      <w:r>
        <w:t>ы</w:t>
      </w:r>
      <w:r>
        <w:t xml:space="preserve"> с </w:t>
      </w:r>
      <w:r>
        <w:t>наличие</w:t>
      </w:r>
      <w:r>
        <w:t>м</w:t>
      </w:r>
      <w:r>
        <w:t xml:space="preserve"> 3</w:t>
      </w:r>
      <w:r>
        <w:t>-х</w:t>
      </w:r>
      <w:r>
        <w:t xml:space="preserve"> </w:t>
      </w:r>
      <w:r>
        <w:t xml:space="preserve">и более </w:t>
      </w:r>
      <w:r>
        <w:t>кариозных полостей на момент обследования;</w:t>
      </w:r>
    </w:p>
    <w:p w14:paraId="1C020000">
      <w:pPr>
        <w:pStyle w:val="Style_24"/>
      </w:pPr>
      <w:r>
        <w:t>Д</w:t>
      </w:r>
      <w:r>
        <w:t>испансерно</w:t>
      </w:r>
      <w:r>
        <w:t>е</w:t>
      </w:r>
      <w:r>
        <w:t xml:space="preserve"> наблюдени</w:t>
      </w:r>
      <w:r>
        <w:t>е рекомендуется проводить</w:t>
      </w:r>
      <w:r>
        <w:t xml:space="preserve"> лицам с низкой кариесрезистентностью (</w:t>
      </w:r>
      <w:r>
        <w:t>кариес</w:t>
      </w:r>
      <w:r>
        <w:t>восприимчивым</w:t>
      </w:r>
      <w:r>
        <w:t xml:space="preserve"> пациент</w:t>
      </w:r>
      <w:r>
        <w:t>ам</w:t>
      </w:r>
      <w:r>
        <w:t>)</w:t>
      </w:r>
      <w:r>
        <w:t xml:space="preserve"> </w:t>
      </w:r>
      <w:r>
        <w:t>с частотой осмотров один раз в шесть месяцев [</w:t>
      </w:r>
      <w:r>
        <w:t>261</w:t>
      </w:r>
      <w:r>
        <w:t>]</w:t>
      </w:r>
      <w:r>
        <w:t>. Данные рекомендации целесообразны как для первичной, так и для вторичной профилактики кариеса.</w:t>
      </w:r>
    </w:p>
    <w:p w14:paraId="1D020000">
      <w:pPr>
        <w:pStyle w:val="Style_23"/>
        <w:rPr>
          <w:color w:val="000000"/>
        </w:rPr>
      </w:pPr>
      <w:r>
        <w:t xml:space="preserve">Уровень убедительности рекомендаций </w:t>
      </w:r>
      <w:r>
        <w:t>C</w:t>
      </w:r>
      <w:r>
        <w:t xml:space="preserve"> (уровень достоверности доказательств – </w:t>
      </w:r>
      <w:r>
        <w:t>4</w:t>
      </w:r>
      <w:r>
        <w:t>)</w:t>
      </w:r>
    </w:p>
    <w:p w14:paraId="1E020000">
      <w:bookmarkStart w:id="52" w:name="__RefHeading___33"/>
      <w:bookmarkEnd w:id="52"/>
      <w:pPr>
        <w:pStyle w:val="Style_8"/>
      </w:pPr>
      <w:r>
        <w:t>X</w:t>
      </w:r>
      <w:r>
        <w:t xml:space="preserve">. </w:t>
      </w:r>
      <w:r>
        <w:t>Организация оказания медицинской помощи</w:t>
      </w:r>
    </w:p>
    <w:p w14:paraId="1F020000">
      <w:pPr>
        <w:pStyle w:val="Style_29"/>
        <w:widowControl w:val="1"/>
        <w:ind w:firstLine="709" w:left="0"/>
      </w:pPr>
      <w:r>
        <w:t>Лечебно-профилактические мероприятия при КЗ проводятся в амбулаторно</w:t>
      </w:r>
      <w:r>
        <w:t xml:space="preserve">-поликлинических условиях после уточнения диагноза и осуществляются </w:t>
      </w:r>
      <w:r>
        <w:t>врачами-стоматологами, врачами-стоматологами общей практики, врачами-стоматологами терапевтами,с привлечением</w:t>
      </w:r>
      <w:r>
        <w:t>,</w:t>
      </w:r>
      <w:r>
        <w:t xml:space="preserve"> при необходимости</w:t>
      </w:r>
      <w:r>
        <w:t xml:space="preserve">, </w:t>
      </w:r>
      <w:r>
        <w:t>врачей-стоматологов ортопедов</w:t>
      </w:r>
      <w:r>
        <w:t>,</w:t>
      </w:r>
      <w:r>
        <w:t xml:space="preserve"> врачей-стоматологов хирургов, ортодонтов</w:t>
      </w:r>
      <w:r>
        <w:t xml:space="preserve">, </w:t>
      </w:r>
      <w:r>
        <w:t>а также гигиенистов стоматологических</w:t>
      </w:r>
      <w:r>
        <w:t>.</w:t>
      </w:r>
    </w:p>
    <w:p w14:paraId="20020000">
      <w:bookmarkStart w:id="53" w:name="__RefHeading___34"/>
      <w:bookmarkEnd w:id="53"/>
      <w:pPr>
        <w:pStyle w:val="Style_8"/>
      </w:pPr>
      <w:r>
        <w:t>XI</w:t>
      </w:r>
      <w:r>
        <w:t>. Дополнительная информация, влияющая на течение и исход заболевания</w:t>
      </w:r>
      <w:bookmarkEnd w:id="50"/>
      <w:r>
        <w:t xml:space="preserve"> или состояния)</w:t>
      </w:r>
    </w:p>
    <w:p w14:paraId="21020000">
      <w:pPr>
        <w:pStyle w:val="Style_21"/>
      </w:pPr>
      <w:r>
        <w:t>Нарушения в питании и изменение уровня содержания фтора в воде могут приводить к возникновению заболеваний, в том числе к</w:t>
      </w:r>
      <w:r>
        <w:t xml:space="preserve"> КЗ</w:t>
      </w:r>
      <w:r>
        <w:t xml:space="preserve"> [1, </w:t>
      </w:r>
      <w:r>
        <w:t>6, 261]</w:t>
      </w:r>
      <w:r>
        <w:t>.</w:t>
      </w:r>
    </w:p>
    <w:p w14:paraId="22020000">
      <w:pPr>
        <w:pStyle w:val="Style_23"/>
      </w:pPr>
      <w:r>
        <w:rPr>
          <w:rStyle w:val="Style_25_ch"/>
          <w:b w:val="1"/>
          <w:color w:val="252A2F"/>
        </w:rPr>
        <w:t>Уровень убедительности B</w:t>
      </w:r>
      <w:r>
        <w:t> (уровень достоверности доказательств – 2)</w:t>
      </w:r>
    </w:p>
    <w:p w14:paraId="23020000">
      <w:pPr>
        <w:pStyle w:val="Style_22"/>
        <w:widowControl w:val="1"/>
        <w:ind w:firstLine="709" w:left="0"/>
      </w:pPr>
      <w:r>
        <w:rPr>
          <w:rStyle w:val="Style_25_ch"/>
          <w:color w:val="252A2F"/>
        </w:rPr>
        <w:t>Комментари</w:t>
      </w:r>
      <w:r>
        <w:t>и: Наиболее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w:t>
      </w:r>
      <w:r>
        <w:t xml:space="preserve">и в пищевом </w:t>
      </w:r>
      <w:r>
        <w:t xml:space="preserve">рационе </w:t>
      </w:r>
      <w:r>
        <w:t>продуктов</w:t>
      </w:r>
      <w:r>
        <w:t xml:space="preserve"> мягкой консистенции. Кроме того, эпидемиологическими исследованиями выявлена высокая распространенность </w:t>
      </w:r>
      <w:r>
        <w:t xml:space="preserve">КЗ у </w:t>
      </w:r>
      <w:r>
        <w:t>людей, которые употребляют воду с недостаточной концентрацией фтора (менее 0,8 мг/л).</w:t>
      </w:r>
    </w:p>
    <w:p w14:paraId="24020000">
      <w:pPr>
        <w:pStyle w:val="Style_22"/>
        <w:widowControl w:val="1"/>
        <w:ind w:firstLine="709" w:left="0"/>
      </w:pPr>
      <w:r>
        <w:t xml:space="preserve">Эти факторы создают благоприятный фон, на котором легко сочетается действие различных патогенных факторов и развивается </w:t>
      </w:r>
      <w:r>
        <w:t>КЗ</w:t>
      </w:r>
      <w:r>
        <w:t>.</w:t>
      </w:r>
    </w:p>
    <w:p w14:paraId="25020000">
      <w:pPr>
        <w:pStyle w:val="Style_21"/>
        <w:widowControl w:val="1"/>
        <w:tabs>
          <w:tab w:leader="none" w:pos="0" w:val="left"/>
          <w:tab w:leader="none" w:pos="360" w:val="clear"/>
        </w:tabs>
        <w:ind w:firstLine="0" w:left="0"/>
      </w:pPr>
      <w:r>
        <w:t>Большинство с</w:t>
      </w:r>
      <w:r>
        <w:t>истемных</w:t>
      </w:r>
      <w:r>
        <w:t xml:space="preserve"> заболеваний могут сопровождаться значительной распространенностью и интенсивностью кариеса</w:t>
      </w:r>
      <w:r>
        <w:t xml:space="preserve"> </w:t>
      </w:r>
      <w:r>
        <w:t>[</w:t>
      </w:r>
      <w:r>
        <w:t>34, 3</w:t>
      </w:r>
      <w:r>
        <w:t>9</w:t>
      </w:r>
      <w:r>
        <w:t xml:space="preserve">, </w:t>
      </w:r>
      <w:r>
        <w:t>40</w:t>
      </w:r>
      <w:r>
        <w:t xml:space="preserve">, </w:t>
      </w:r>
      <w:r>
        <w:t>41</w:t>
      </w:r>
      <w:r>
        <w:t>]</w:t>
      </w:r>
      <w:r>
        <w:t>.</w:t>
      </w:r>
    </w:p>
    <w:p w14:paraId="26020000">
      <w:pPr>
        <w:pStyle w:val="Style_23"/>
        <w:rPr>
          <w:b w:val="0"/>
        </w:rPr>
      </w:pPr>
      <w:r>
        <w:rPr>
          <w:rStyle w:val="Style_25_ch"/>
          <w:b w:val="1"/>
          <w:color w:val="252A2F"/>
        </w:rPr>
        <w:t>Уровень убедительности B</w:t>
      </w:r>
      <w:r>
        <w:rPr>
          <w:b w:val="0"/>
        </w:rPr>
        <w:t> (уровень достоверности доказательств – 2)</w:t>
      </w:r>
    </w:p>
    <w:p w14:paraId="27020000">
      <w:pPr>
        <w:pStyle w:val="Style_22"/>
        <w:widowControl w:val="1"/>
        <w:ind w:firstLine="709" w:left="0"/>
      </w:pPr>
      <w:r>
        <w:rPr>
          <w:rStyle w:val="Style_25_ch"/>
          <w:color w:val="252A2F"/>
        </w:rPr>
        <w:t>Комментари</w:t>
      </w:r>
      <w:r>
        <w:t>и</w:t>
      </w:r>
      <w:r>
        <w:t xml:space="preserve">: </w:t>
      </w:r>
      <w:r>
        <w:t>Изменения в организме</w:t>
      </w:r>
      <w:r>
        <w:t>,</w:t>
      </w:r>
      <w:r>
        <w:t xml:space="preserve"> возникающие при системных заболеваниях</w:t>
      </w:r>
      <w:r>
        <w:t>,</w:t>
      </w:r>
      <w:r>
        <w:t xml:space="preserve"> </w:t>
      </w:r>
      <w:r>
        <w:t xml:space="preserve">оказывают опосредованное влияние </w:t>
      </w:r>
      <w:r>
        <w:t xml:space="preserve">на </w:t>
      </w:r>
      <w:r>
        <w:t>ТТЗ</w:t>
      </w:r>
      <w:r>
        <w:t>,</w:t>
      </w:r>
      <w:r>
        <w:t xml:space="preserve"> </w:t>
      </w:r>
      <w:r>
        <w:t>п</w:t>
      </w:r>
      <w:r>
        <w:t xml:space="preserve">осредством изменения состава </w:t>
      </w:r>
      <w:r>
        <w:t xml:space="preserve">и свойств смешанной </w:t>
      </w:r>
      <w:r>
        <w:t>слюны, ритма слюноотделения</w:t>
      </w:r>
      <w:r>
        <w:t>,</w:t>
      </w:r>
      <w:r>
        <w:t xml:space="preserve"> изменения </w:t>
      </w:r>
      <w:r>
        <w:t>функциональной</w:t>
      </w:r>
      <w:r>
        <w:t xml:space="preserve"> активности </w:t>
      </w:r>
      <w:r>
        <w:t>пульп</w:t>
      </w:r>
      <w:r>
        <w:t>ы зуба</w:t>
      </w:r>
      <w:r>
        <w:t xml:space="preserve">., </w:t>
      </w:r>
      <w:r>
        <w:t>состава</w:t>
      </w:r>
      <w:r>
        <w:t xml:space="preserve"> и свойств </w:t>
      </w:r>
      <w:r>
        <w:t>микрофлоры и гигиенического состояния полости рта.</w:t>
      </w:r>
      <w:r>
        <w:t xml:space="preserve"> </w:t>
      </w:r>
      <w:r>
        <w:t xml:space="preserve">Наиболее неблагоприятное влияние общих заболеваний на зубы </w:t>
      </w:r>
      <w:r>
        <w:t xml:space="preserve">проявляется </w:t>
      </w:r>
      <w:r>
        <w:t>в период их развития, минерализации и созревания.</w:t>
      </w:r>
      <w:r>
        <w:t xml:space="preserve"> </w:t>
      </w:r>
      <w:r>
        <w:t xml:space="preserve">Таким образом, </w:t>
      </w:r>
      <w:r>
        <w:t>системные</w:t>
      </w:r>
      <w:r>
        <w:t xml:space="preserve"> заболевания </w:t>
      </w:r>
      <w:r>
        <w:t xml:space="preserve">могут </w:t>
      </w:r>
      <w:r>
        <w:t>созд</w:t>
      </w:r>
      <w:r>
        <w:t>авать благоприятный</w:t>
      </w:r>
      <w:r>
        <w:t xml:space="preserve"> фон, на котором легко реализуются неблагоприятные местные кариесогенные факторы.</w:t>
      </w:r>
    </w:p>
    <w:p w14:paraId="28020000">
      <w:pPr>
        <w:pStyle w:val="Style_21"/>
        <w:widowControl w:val="1"/>
        <w:tabs>
          <w:tab w:leader="none" w:pos="0" w:val="left"/>
          <w:tab w:leader="none" w:pos="360" w:val="clear"/>
        </w:tabs>
        <w:ind w:firstLine="0" w:left="0"/>
      </w:pPr>
      <w:r>
        <w:t xml:space="preserve">Низкий уровень знаний и умений по поддержанию ГПР, низкая комплаентность к поддержанию стоматологического здоровья влияют на возникновение и течение </w:t>
      </w:r>
      <w:r>
        <w:t>КЗ</w:t>
      </w:r>
      <w:r>
        <w:t xml:space="preserve">. </w:t>
      </w:r>
      <w:r>
        <w:t>Для каждого</w:t>
      </w:r>
      <w:r>
        <w:t xml:space="preserve"> пациент</w:t>
      </w:r>
      <w:r>
        <w:t>а</w:t>
      </w:r>
      <w:r>
        <w:t xml:space="preserve"> с КЗ рекомендуетс</w:t>
      </w:r>
      <w:r>
        <w:t>я подбирать оптимальные</w:t>
      </w:r>
      <w:r>
        <w:t xml:space="preserve"> индивидуальные стратегии по поддержанию стоматологического здоровья</w:t>
      </w:r>
      <w:r>
        <w:t xml:space="preserve">, </w:t>
      </w:r>
      <w:r>
        <w:t xml:space="preserve">исходя из этно-культурных, личностных, возрастных особенностей и материального обеспечения. </w:t>
      </w:r>
    </w:p>
    <w:p w14:paraId="29020000">
      <w:bookmarkStart w:id="54" w:name="__RefHeading___35"/>
      <w:bookmarkEnd w:id="54"/>
      <w:pPr>
        <w:pStyle w:val="Style_16"/>
      </w:pPr>
      <w:r>
        <w:t>XII</w:t>
      </w:r>
      <w:r>
        <w:t>.</w:t>
      </w:r>
      <w:r>
        <w:t xml:space="preserve"> </w:t>
      </w:r>
      <w:bookmarkStart w:id="55" w:name="__RefHeading___doc_criteria"/>
      <w:r>
        <w:t>Критерии оценки качества медицинской помощи</w:t>
      </w:r>
    </w:p>
    <w:p w14:paraId="2A020000">
      <w:pPr>
        <w:pStyle w:val="Style_17"/>
      </w:pPr>
      <w:r>
        <w:t xml:space="preserve">Критерии качества медицинской помощи определены в соответствии с </w:t>
      </w:r>
      <w:r>
        <w:t xml:space="preserve">разработанными клиническими рекомендациями и </w:t>
      </w:r>
      <w:r>
        <w:t>Приказом Министерства здравоохранения РФ №203н от 10.05.2017г. «Об утверждении критериев оценки качества медицинской помощи»</w:t>
      </w:r>
      <w:r>
        <w:t xml:space="preserve"> (с</w:t>
      </w:r>
      <w:r>
        <w:t xml:space="preserve"> учетом п.</w:t>
      </w:r>
      <w:r>
        <w:rPr>
          <w:rFonts w:ascii="Arial" w:hAnsi="Arial"/>
          <w:color w:val="333333"/>
          <w:sz w:val="23"/>
        </w:rPr>
        <w:t xml:space="preserve"> 2.1. </w:t>
      </w:r>
      <w:r>
        <w:rPr>
          <w:color w:val="333333"/>
        </w:rPr>
        <w:t>«Критерии качества в амбулаторных условиях»</w:t>
      </w:r>
      <w:r>
        <w:rPr>
          <w:color w:val="333333"/>
        </w:rPr>
        <w:t>)</w:t>
      </w:r>
      <w:r>
        <w:t>:</w:t>
      </w:r>
    </w:p>
    <w:p w14:paraId="2B020000">
      <w:pPr>
        <w:widowControl w:val="0"/>
        <w:spacing w:line="26" w:lineRule="atLeast"/>
        <w:ind/>
      </w:pPr>
      <w:r>
        <w:rPr>
          <w:rFonts w:ascii="Times New Roman CYR" w:hAnsi="Times New Roman CYR"/>
        </w:rPr>
        <w:t>Группа заболеваний или состояний:</w:t>
      </w:r>
      <w:r>
        <w:rPr>
          <w:rFonts w:ascii="Times New Roman CYR" w:hAnsi="Times New Roman CYR"/>
          <w:b w:val="1"/>
        </w:rPr>
        <w:t xml:space="preserve"> Кариес зубов</w:t>
      </w:r>
      <w:r>
        <w:t> </w:t>
      </w:r>
      <w:r>
        <w:t xml:space="preserve"> </w:t>
      </w:r>
    </w:p>
    <w:p w14:paraId="2C020000">
      <w:pPr>
        <w:widowControl w:val="0"/>
        <w:spacing w:line="26" w:lineRule="atLeast"/>
        <w:ind/>
        <w:rPr>
          <w:rFonts w:ascii="Times New Roman CYR" w:hAnsi="Times New Roman CYR"/>
        </w:rPr>
      </w:pPr>
      <w:r>
        <w:rPr>
          <w:rFonts w:ascii="Times New Roman CYR" w:hAnsi="Times New Roman CYR"/>
        </w:rPr>
        <w:t>Код/коды по МКБ-10 К02.0</w:t>
      </w:r>
    </w:p>
    <w:p w14:paraId="2D020000">
      <w:pPr>
        <w:widowControl w:val="0"/>
        <w:spacing w:line="26" w:lineRule="atLeast"/>
        <w:ind/>
        <w:rPr>
          <w:rFonts w:ascii="Times New Roman CYR" w:hAnsi="Times New Roman CYR"/>
        </w:rPr>
      </w:pPr>
      <w:r>
        <w:rPr>
          <w:rFonts w:ascii="Times New Roman CYR" w:hAnsi="Times New Roman CYR"/>
        </w:rPr>
        <w:t>Нозологические формы:</w:t>
      </w:r>
      <w:r>
        <w:rPr>
          <w:rFonts w:ascii="Times New Roman CYR" w:hAnsi="Times New Roman CYR"/>
        </w:rPr>
        <w:t xml:space="preserve"> Кариес эмали, Кариес дентина, Кариес цемента, кариес с обнаженной пульпой, Приостановившийся кариес</w:t>
      </w:r>
    </w:p>
    <w:p w14:paraId="2E020000">
      <w:pPr>
        <w:widowControl w:val="0"/>
        <w:spacing w:line="26" w:lineRule="atLeast"/>
        <w:ind/>
        <w:rPr>
          <w:rFonts w:ascii="Times New Roman CYR" w:hAnsi="Times New Roman CYR"/>
        </w:rPr>
      </w:pPr>
      <w:r>
        <w:rPr>
          <w:rFonts w:ascii="Times New Roman CYR" w:hAnsi="Times New Roman CYR"/>
        </w:rPr>
        <w:t>Вид медицинской помощи: первичная медико-санитарная помощь</w:t>
      </w:r>
    </w:p>
    <w:p w14:paraId="2F020000">
      <w:pPr>
        <w:widowControl w:val="0"/>
        <w:spacing w:line="26" w:lineRule="atLeast"/>
        <w:ind/>
        <w:rPr>
          <w:rFonts w:ascii="Times New Roman CYR" w:hAnsi="Times New Roman CYR"/>
        </w:rPr>
      </w:pPr>
      <w:r>
        <w:rPr>
          <w:rFonts w:ascii="Times New Roman CYR" w:hAnsi="Times New Roman CYR"/>
        </w:rPr>
        <w:t>Условия оказания медицинской помощи: амбулаторно</w:t>
      </w:r>
      <w:r>
        <w:rPr>
          <w:rFonts w:ascii="Times New Roman CYR" w:hAnsi="Times New Roman CYR"/>
        </w:rPr>
        <w:t>,</w:t>
      </w:r>
      <w:r>
        <w:rPr>
          <w:rFonts w:ascii="Times New Roman CYR" w:hAnsi="Times New Roman CYR"/>
        </w:rPr>
        <w:t xml:space="preserve"> </w:t>
      </w:r>
      <w:r>
        <w:rPr>
          <w:rFonts w:ascii="Times New Roman CYR" w:hAnsi="Times New Roman CYR"/>
        </w:rPr>
        <w:t>в условиях стационара (по показаниям).</w:t>
      </w:r>
    </w:p>
    <w:p w14:paraId="30020000">
      <w:pPr>
        <w:widowControl w:val="0"/>
        <w:spacing w:line="26" w:lineRule="atLeast"/>
        <w:ind/>
        <w:rPr>
          <w:rFonts w:ascii="Times New Roman CYR" w:hAnsi="Times New Roman CYR"/>
        </w:rPr>
      </w:pPr>
    </w:p>
    <w:tbl>
      <w:tblPr>
        <w:tblStyle w:val="Style_20"/>
        <w:tblW w:type="auto" w:w="0"/>
        <w:tblInd w:type="dxa" w:w="-185"/>
        <w:tblBorders>
          <w:top w:color="000001" w:sz="4" w:val="single"/>
          <w:left w:color="000001" w:sz="4" w:val="single"/>
          <w:bottom w:color="000001" w:sz="4" w:val="single"/>
          <w:insideH w:color="000001" w:sz="4" w:val="single"/>
        </w:tblBorders>
        <w:tblLayout w:type="fixed"/>
        <w:tblCellMar>
          <w:left w:type="dxa" w:w="93"/>
        </w:tblCellMar>
      </w:tblPr>
      <w:tblGrid>
        <w:gridCol w:w="566"/>
        <w:gridCol w:w="4032"/>
        <w:gridCol w:w="1699"/>
        <w:gridCol w:w="1840"/>
        <w:gridCol w:w="774"/>
        <w:gridCol w:w="871"/>
      </w:tblGrid>
      <w:tr>
        <w:tc>
          <w:tcPr>
            <w:tcW w:type="dxa" w:w="566"/>
            <w:tcBorders>
              <w:top w:color="000001" w:sz="4" w:val="single"/>
              <w:left w:color="000001" w:sz="4" w:val="single"/>
              <w:bottom w:color="000001" w:sz="4" w:val="single"/>
            </w:tcBorders>
            <w:shd w:fill="auto" w:val="clear"/>
            <w:tcMar>
              <w:left w:type="dxa" w:w="93"/>
            </w:tcMar>
          </w:tcPr>
          <w:p w14:paraId="31020000">
            <w:pPr>
              <w:widowControl w:val="1"/>
              <w:spacing w:line="276" w:lineRule="auto"/>
              <w:ind w:firstLine="0"/>
              <w:rPr>
                <w:b w:val="1"/>
              </w:rPr>
            </w:pPr>
            <w:r>
              <w:rPr>
                <w:b w:val="1"/>
                <w:sz w:val="22"/>
              </w:rPr>
              <w:t>№</w:t>
            </w:r>
          </w:p>
        </w:tc>
        <w:tc>
          <w:tcPr>
            <w:tcW w:type="dxa" w:w="4032"/>
            <w:tcBorders>
              <w:top w:color="000001" w:sz="4" w:val="single"/>
              <w:left w:color="000001" w:sz="4" w:val="single"/>
              <w:bottom w:color="000001" w:sz="4" w:val="single"/>
            </w:tcBorders>
            <w:shd w:fill="auto" w:val="clear"/>
            <w:tcMar>
              <w:left w:type="dxa" w:w="93"/>
            </w:tcMar>
          </w:tcPr>
          <w:p w14:paraId="32020000">
            <w:pPr>
              <w:widowControl w:val="1"/>
              <w:spacing w:line="276" w:lineRule="auto"/>
              <w:ind w:firstLine="0"/>
              <w:rPr>
                <w:b w:val="1"/>
              </w:rPr>
            </w:pPr>
            <w:r>
              <w:rPr>
                <w:b w:val="1"/>
                <w:sz w:val="22"/>
              </w:rPr>
              <w:t>Критерии качества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33020000">
            <w:pPr>
              <w:widowControl w:val="1"/>
              <w:spacing w:line="276" w:lineRule="auto"/>
              <w:ind w:firstLine="0"/>
              <w:rPr>
                <w:b w:val="1"/>
              </w:rPr>
            </w:pPr>
            <w:r>
              <w:rPr>
                <w:b w:val="1"/>
                <w:sz w:val="22"/>
              </w:rPr>
              <w:t>Уровень достоверности доказательств</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34020000">
            <w:pPr>
              <w:widowControl w:val="1"/>
              <w:spacing w:line="276" w:lineRule="auto"/>
              <w:ind w:firstLine="0"/>
              <w:rPr>
                <w:b w:val="1"/>
              </w:rPr>
            </w:pPr>
            <w:r>
              <w:rPr>
                <w:b w:val="1"/>
                <w:sz w:val="22"/>
              </w:rPr>
              <w:t>Уровень убедительности рекомендаций</w:t>
            </w:r>
          </w:p>
        </w:tc>
        <w:tc>
          <w:tcPr>
            <w:tcW w:type="dxa" w:w="1645"/>
            <w:gridSpan w:val="2"/>
            <w:tcBorders>
              <w:top w:color="00000A" w:sz="4" w:val="single"/>
              <w:left w:color="00000A" w:sz="4" w:val="single"/>
              <w:bottom w:color="00000A" w:sz="4" w:val="single"/>
              <w:right w:color="00000A" w:sz="4" w:val="single"/>
            </w:tcBorders>
            <w:shd w:fill="auto" w:val="clear"/>
            <w:tcMar>
              <w:left w:type="dxa" w:w="93"/>
            </w:tcMar>
          </w:tcPr>
          <w:p w14:paraId="35020000">
            <w:pPr>
              <w:widowControl w:val="1"/>
              <w:spacing w:line="240" w:lineRule="auto"/>
              <w:ind w:firstLine="0"/>
              <w:rPr>
                <w:b w:val="1"/>
              </w:rPr>
            </w:pPr>
            <w:r>
              <w:rPr>
                <w:b w:val="1"/>
                <w:sz w:val="22"/>
              </w:rPr>
              <w:t>Оценка выполнения</w:t>
            </w:r>
          </w:p>
        </w:tc>
      </w:tr>
      <w:tr>
        <w:tc>
          <w:tcPr>
            <w:tcW w:type="dxa" w:w="566"/>
            <w:tcBorders>
              <w:top w:color="000001" w:sz="4" w:val="single"/>
              <w:left w:color="000001" w:sz="4" w:val="single"/>
              <w:bottom w:color="000001" w:sz="4" w:val="single"/>
            </w:tcBorders>
            <w:shd w:fill="auto" w:val="clear"/>
            <w:tcMar>
              <w:left w:type="dxa" w:w="93"/>
            </w:tcMar>
          </w:tcPr>
          <w:p w14:paraId="36020000">
            <w:pPr>
              <w:widowControl w:val="1"/>
              <w:tabs>
                <w:tab w:leader="none" w:pos="0" w:val="left"/>
              </w:tabs>
              <w:spacing w:line="240" w:lineRule="auto"/>
              <w:ind w:firstLine="0"/>
              <w:rPr>
                <w:b w:val="1"/>
              </w:rPr>
            </w:pPr>
            <w:r>
              <w:rPr>
                <w:b w:val="1"/>
                <w:sz w:val="22"/>
              </w:rPr>
              <w:t>1.</w:t>
            </w:r>
          </w:p>
        </w:tc>
        <w:tc>
          <w:tcPr>
            <w:tcW w:type="dxa" w:w="4032"/>
            <w:tcBorders>
              <w:top w:color="000001" w:sz="4" w:val="single"/>
              <w:left w:color="000001" w:sz="4" w:val="single"/>
              <w:bottom w:color="000001" w:sz="4" w:val="single"/>
            </w:tcBorders>
            <w:shd w:fill="auto" w:val="clear"/>
            <w:tcMar>
              <w:left w:type="dxa" w:w="93"/>
            </w:tcMar>
          </w:tcPr>
          <w:p w14:paraId="37020000">
            <w:pPr>
              <w:widowControl w:val="1"/>
              <w:tabs>
                <w:tab w:leader="none" w:pos="0" w:val="left"/>
              </w:tabs>
              <w:spacing w:line="240" w:lineRule="auto"/>
              <w:ind w:firstLine="0"/>
              <w:rPr>
                <w:b w:val="1"/>
              </w:rPr>
            </w:pPr>
            <w:r>
              <w:rPr>
                <w:b w:val="1"/>
                <w:sz w:val="22"/>
              </w:rPr>
              <w:t xml:space="preserve"> Событийные (смысловые, содержательные, процессные) критерии качества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38020000">
            <w:pPr>
              <w:widowControl w:val="1"/>
              <w:spacing w:line="240" w:lineRule="auto"/>
              <w:ind w:firstLine="0" w:left="1440"/>
              <w:contextualSpacing w:val="1"/>
              <w:rPr>
                <w:b w:val="1"/>
              </w:rPr>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39020000">
            <w:pPr>
              <w:widowControl w:val="1"/>
              <w:spacing w:line="240" w:lineRule="auto"/>
              <w:ind w:firstLine="0" w:left="1440"/>
              <w:contextualSpacing w:val="1"/>
              <w:rPr>
                <w:b w:val="1"/>
              </w:rPr>
            </w:pPr>
          </w:p>
        </w:tc>
        <w:tc>
          <w:tcPr>
            <w:tcW w:type="dxa" w:w="1645"/>
            <w:gridSpan w:val="2"/>
            <w:tcBorders>
              <w:top w:color="00000A" w:sz="4" w:val="single"/>
              <w:left w:color="00000A" w:sz="4" w:val="single"/>
              <w:bottom w:color="00000A" w:sz="4" w:val="single"/>
              <w:right w:color="00000A" w:sz="4" w:val="single"/>
            </w:tcBorders>
            <w:shd w:fill="auto" w:val="clear"/>
            <w:tcMar>
              <w:left w:type="dxa" w:w="93"/>
            </w:tcMar>
          </w:tcPr>
          <w:p w14:paraId="3A020000">
            <w:pPr>
              <w:widowControl w:val="1"/>
              <w:spacing w:line="240" w:lineRule="auto"/>
              <w:ind w:firstLine="0" w:left="1440"/>
              <w:contextualSpacing w:val="1"/>
              <w:rPr>
                <w:b w:val="1"/>
              </w:rPr>
            </w:pPr>
          </w:p>
        </w:tc>
      </w:tr>
      <w:tr>
        <w:tc>
          <w:tcPr>
            <w:tcW w:type="dxa" w:w="566"/>
            <w:tcBorders>
              <w:top w:color="000001" w:sz="4" w:val="single"/>
              <w:left w:color="000001" w:sz="4" w:val="single"/>
              <w:bottom w:color="000001" w:sz="4" w:val="single"/>
            </w:tcBorders>
            <w:shd w:fill="auto" w:val="clear"/>
            <w:tcMar>
              <w:left w:type="dxa" w:w="93"/>
            </w:tcMar>
          </w:tcPr>
          <w:p w14:paraId="3B020000">
            <w:pPr>
              <w:widowControl w:val="1"/>
              <w:spacing w:line="240" w:lineRule="auto"/>
              <w:ind w:firstLine="0"/>
            </w:pPr>
            <w:r>
              <w:rPr>
                <w:sz w:val="22"/>
              </w:rPr>
              <w:t>1.1</w:t>
            </w:r>
          </w:p>
        </w:tc>
        <w:tc>
          <w:tcPr>
            <w:tcW w:type="dxa" w:w="4032"/>
            <w:tcBorders>
              <w:top w:color="000001" w:sz="4" w:val="single"/>
              <w:left w:color="000001" w:sz="4" w:val="single"/>
              <w:bottom w:color="000001" w:sz="4" w:val="single"/>
            </w:tcBorders>
            <w:shd w:fill="auto" w:val="clear"/>
            <w:tcMar>
              <w:left w:type="dxa" w:w="93"/>
            </w:tcMar>
          </w:tcPr>
          <w:p w14:paraId="3C020000">
            <w:pPr>
              <w:widowControl w:val="1"/>
              <w:spacing w:line="240" w:lineRule="auto"/>
              <w:ind w:firstLine="0"/>
            </w:pPr>
            <w:r>
              <w:rPr>
                <w:sz w:val="22"/>
              </w:rPr>
              <w:t xml:space="preserve">Проводилось ли при постановке диагноза: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3D020000">
            <w:pPr>
              <w:widowControl w:val="1"/>
              <w:spacing w:line="240" w:lineRule="auto"/>
              <w:ind w:firstLine="0"/>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3E020000">
            <w:pPr>
              <w:widowControl w:val="1"/>
              <w:spacing w:line="240" w:lineRule="auto"/>
              <w:ind w:firstLine="0"/>
            </w:pP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3F020000">
            <w:pPr>
              <w:widowControl w:val="1"/>
              <w:spacing w:line="240" w:lineRule="auto"/>
              <w:ind w:firstLine="0"/>
            </w:pP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40020000">
            <w:pPr>
              <w:widowControl w:val="1"/>
              <w:spacing w:line="240" w:lineRule="auto"/>
              <w:ind w:firstLine="0"/>
            </w:pPr>
          </w:p>
        </w:tc>
      </w:tr>
      <w:tr>
        <w:tc>
          <w:tcPr>
            <w:tcW w:type="dxa" w:w="566"/>
            <w:tcBorders>
              <w:top w:color="000001" w:sz="4" w:val="single"/>
              <w:left w:color="000001" w:sz="4" w:val="single"/>
              <w:bottom w:color="000001" w:sz="4" w:val="single"/>
            </w:tcBorders>
            <w:shd w:fill="auto" w:val="clear"/>
            <w:tcMar>
              <w:left w:type="dxa" w:w="93"/>
            </w:tcMar>
          </w:tcPr>
          <w:p w14:paraId="41020000">
            <w:pPr>
              <w:widowControl w:val="1"/>
              <w:numPr>
                <w:ilvl w:val="0"/>
                <w:numId w:val="11"/>
              </w:numPr>
              <w:spacing w:line="240" w:lineRule="auto"/>
              <w:ind w:firstLine="0" w:left="0"/>
              <w:contextualSpacing w:val="1"/>
              <w:jc w:val="left"/>
            </w:pPr>
          </w:p>
        </w:tc>
        <w:tc>
          <w:tcPr>
            <w:tcW w:type="dxa" w:w="4032"/>
            <w:tcBorders>
              <w:top w:color="000001" w:sz="4" w:val="single"/>
              <w:left w:color="000001" w:sz="4" w:val="single"/>
              <w:bottom w:color="00000A" w:sz="4" w:val="single"/>
            </w:tcBorders>
            <w:shd w:fill="auto" w:val="clear"/>
            <w:tcMar>
              <w:left w:type="dxa" w:w="93"/>
            </w:tcMar>
          </w:tcPr>
          <w:p w14:paraId="42020000">
            <w:pPr>
              <w:widowControl w:val="1"/>
              <w:spacing w:line="240" w:lineRule="auto"/>
              <w:ind w:firstLine="0"/>
            </w:pPr>
            <w:r>
              <w:rPr>
                <w:sz w:val="22"/>
              </w:rPr>
              <w:t xml:space="preserve">сбор анамнеза, выявление этиологических и патогенетических факторов заболевания </w:t>
            </w:r>
          </w:p>
        </w:tc>
        <w:tc>
          <w:tcPr>
            <w:tcW w:type="dxa" w:w="1699"/>
            <w:tcBorders>
              <w:top w:color="000001" w:sz="4" w:val="single"/>
              <w:left w:color="000001" w:sz="4" w:val="single"/>
              <w:bottom w:color="00000A" w:sz="4" w:val="single"/>
              <w:right w:color="00000A" w:sz="4" w:val="single"/>
            </w:tcBorders>
            <w:shd w:fill="auto" w:val="clear"/>
            <w:tcMar>
              <w:left w:type="dxa" w:w="93"/>
            </w:tcMar>
          </w:tcPr>
          <w:p w14:paraId="43020000">
            <w:pPr>
              <w:widowControl w:val="1"/>
              <w:spacing w:line="240" w:lineRule="auto"/>
              <w:ind w:firstLine="0"/>
            </w:pPr>
            <w:r>
              <w:rPr>
                <w:sz w:val="22"/>
              </w:rP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44020000">
            <w:pPr>
              <w:widowControl w:val="1"/>
              <w:spacing w:line="240" w:lineRule="auto"/>
              <w:ind w:firstLine="0"/>
            </w:pPr>
            <w:r>
              <w:rPr>
                <w:sz w:val="22"/>
              </w:rP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45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46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47020000">
            <w:pPr>
              <w:widowControl w:val="1"/>
              <w:numPr>
                <w:ilvl w:val="0"/>
                <w:numId w:val="11"/>
              </w:numPr>
              <w:spacing w:line="240" w:lineRule="auto"/>
              <w:ind w:firstLine="0" w:left="0"/>
              <w:contextualSpacing w:val="1"/>
              <w:jc w:val="left"/>
            </w:pPr>
          </w:p>
        </w:tc>
        <w:tc>
          <w:tcPr>
            <w:tcW w:type="dxa" w:w="4032"/>
            <w:tcBorders>
              <w:top w:color="000001" w:sz="4" w:val="single"/>
              <w:left w:color="000001" w:sz="4" w:val="single"/>
              <w:bottom w:color="000001" w:sz="4" w:val="single"/>
            </w:tcBorders>
            <w:shd w:fill="auto" w:val="clear"/>
            <w:tcMar>
              <w:left w:type="dxa" w:w="93"/>
            </w:tcMar>
          </w:tcPr>
          <w:p w14:paraId="48020000">
            <w:pPr>
              <w:widowControl w:val="1"/>
              <w:tabs>
                <w:tab w:leader="none" w:pos="175" w:val="left"/>
                <w:tab w:leader="none" w:pos="459" w:val="left"/>
              </w:tabs>
              <w:spacing w:line="240" w:lineRule="auto"/>
              <w:ind w:firstLine="0"/>
            </w:pPr>
            <w:r>
              <w:rPr>
                <w:sz w:val="22"/>
              </w:rPr>
              <w:t xml:space="preserve">зондирование, перкуссия, термопроба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49020000">
            <w:pPr>
              <w:widowControl w:val="1"/>
              <w:spacing w:line="240" w:lineRule="auto"/>
              <w:ind w:firstLine="0"/>
            </w:pPr>
            <w:r>
              <w:rPr>
                <w:sz w:val="22"/>
              </w:rP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4A020000">
            <w:pPr>
              <w:widowControl w:val="1"/>
              <w:spacing w:line="240" w:lineRule="auto"/>
              <w:ind w:firstLine="0"/>
            </w:pPr>
            <w:r>
              <w:rPr>
                <w:sz w:val="22"/>
              </w:rPr>
              <w:t>B</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4B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4C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4D020000">
            <w:pPr>
              <w:widowControl w:val="1"/>
              <w:numPr>
                <w:ilvl w:val="0"/>
                <w:numId w:val="12"/>
              </w:numPr>
              <w:spacing w:line="240" w:lineRule="auto"/>
              <w:ind w:firstLine="0" w:left="0"/>
              <w:contextualSpacing w:val="1"/>
            </w:pPr>
          </w:p>
        </w:tc>
        <w:tc>
          <w:tcPr>
            <w:tcW w:type="dxa" w:w="4032"/>
            <w:tcBorders>
              <w:top w:color="000001" w:sz="4" w:val="single"/>
              <w:left w:color="000001" w:sz="4" w:val="single"/>
              <w:bottom w:color="000001" w:sz="4" w:val="single"/>
            </w:tcBorders>
            <w:shd w:fill="auto" w:val="clear"/>
            <w:tcMar>
              <w:left w:type="dxa" w:w="93"/>
            </w:tcMar>
          </w:tcPr>
          <w:p w14:paraId="4E020000">
            <w:pPr>
              <w:widowControl w:val="1"/>
              <w:spacing w:line="240" w:lineRule="auto"/>
              <w:ind w:firstLine="0"/>
            </w:pPr>
            <w:r>
              <w:rPr>
                <w:sz w:val="22"/>
              </w:rPr>
              <w:t xml:space="preserve">определение жизнеспособности пульпы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4F020000">
            <w:pPr>
              <w:widowControl w:val="1"/>
              <w:spacing w:line="240" w:lineRule="auto"/>
              <w:ind w:firstLine="0"/>
            </w:pPr>
            <w:r>
              <w:rPr>
                <w:sz w:val="22"/>
              </w:rP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50020000">
            <w:pPr>
              <w:widowControl w:val="1"/>
              <w:spacing w:line="240" w:lineRule="auto"/>
              <w:ind w:firstLine="0"/>
            </w:pPr>
            <w:r>
              <w:rPr>
                <w:sz w:val="22"/>
              </w:rPr>
              <w:t>B</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51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52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53020000">
            <w:pPr>
              <w:widowControl w:val="1"/>
              <w:numPr>
                <w:ilvl w:val="0"/>
                <w:numId w:val="11"/>
              </w:numPr>
              <w:spacing w:line="240" w:lineRule="auto"/>
              <w:ind w:firstLine="0" w:left="0"/>
              <w:contextualSpacing w:val="1"/>
              <w:jc w:val="left"/>
            </w:pPr>
          </w:p>
        </w:tc>
        <w:tc>
          <w:tcPr>
            <w:tcW w:type="dxa" w:w="4032"/>
            <w:tcBorders>
              <w:top w:color="000001" w:sz="4" w:val="single"/>
              <w:left w:color="000001" w:sz="4" w:val="single"/>
              <w:bottom w:color="000001" w:sz="4" w:val="single"/>
            </w:tcBorders>
            <w:shd w:fill="auto" w:val="clear"/>
            <w:tcMar>
              <w:left w:type="dxa" w:w="93"/>
            </w:tcMar>
          </w:tcPr>
          <w:p w14:paraId="54020000">
            <w:pPr>
              <w:widowControl w:val="1"/>
              <w:tabs>
                <w:tab w:leader="none" w:pos="175" w:val="left"/>
                <w:tab w:leader="none" w:pos="459" w:val="left"/>
              </w:tabs>
              <w:spacing w:line="240" w:lineRule="auto"/>
              <w:ind w:firstLine="0"/>
            </w:pPr>
            <w:r>
              <w:rPr>
                <w:sz w:val="22"/>
              </w:rPr>
              <w:t>определение ИРОПЗ</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55020000">
            <w:pPr>
              <w:widowControl w:val="1"/>
              <w:spacing w:line="240" w:lineRule="auto"/>
              <w:ind w:firstLine="0"/>
            </w:pPr>
            <w: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56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57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58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59020000">
            <w:pPr>
              <w:widowControl w:val="1"/>
              <w:spacing w:line="240" w:lineRule="auto"/>
              <w:ind w:firstLine="0"/>
            </w:pPr>
            <w:r>
              <w:rPr>
                <w:sz w:val="22"/>
              </w:rPr>
              <w:t>1.2</w:t>
            </w:r>
          </w:p>
        </w:tc>
        <w:tc>
          <w:tcPr>
            <w:tcW w:type="dxa" w:w="4032"/>
            <w:tcBorders>
              <w:top w:color="000001" w:sz="4" w:val="single"/>
              <w:left w:color="000001" w:sz="4" w:val="single"/>
              <w:bottom w:color="000001" w:sz="4" w:val="single"/>
            </w:tcBorders>
            <w:shd w:fill="auto" w:val="clear"/>
            <w:tcMar>
              <w:left w:type="dxa" w:w="93"/>
            </w:tcMar>
          </w:tcPr>
          <w:p w14:paraId="5A020000">
            <w:pPr>
              <w:widowControl w:val="1"/>
              <w:spacing w:line="240" w:lineRule="auto"/>
              <w:ind w:firstLine="0"/>
            </w:pPr>
            <w:r>
              <w:rPr>
                <w:sz w:val="22"/>
              </w:rPr>
              <w:t>Проводилось ли устранение факторов, обуславливающих процесс деминерализации (профессиональная гигиена полости рта)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5B020000">
            <w:pPr>
              <w:widowControl w:val="1"/>
              <w:spacing w:line="240" w:lineRule="auto"/>
              <w:ind w:firstLine="0"/>
            </w:pPr>
            <w:r>
              <w:rPr>
                <w:sz w:val="22"/>
              </w:rP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5C020000">
            <w:pPr>
              <w:widowControl w:val="1"/>
              <w:spacing w:line="240" w:lineRule="auto"/>
              <w:ind w:firstLine="0"/>
            </w:pPr>
            <w:r>
              <w:rPr>
                <w:sz w:val="22"/>
              </w:rPr>
              <w:t>B</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5D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5E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5F020000">
            <w:pPr>
              <w:widowControl w:val="1"/>
              <w:spacing w:line="240" w:lineRule="auto"/>
              <w:ind w:firstLine="0"/>
            </w:pPr>
            <w:r>
              <w:rPr>
                <w:sz w:val="22"/>
              </w:rPr>
              <w:t>1.3</w:t>
            </w:r>
          </w:p>
        </w:tc>
        <w:tc>
          <w:tcPr>
            <w:tcW w:type="dxa" w:w="4032"/>
            <w:tcBorders>
              <w:top w:color="000001" w:sz="4" w:val="single"/>
              <w:left w:color="000001" w:sz="4" w:val="single"/>
              <w:bottom w:color="000001" w:sz="4" w:val="single"/>
            </w:tcBorders>
            <w:shd w:fill="auto" w:val="clear"/>
            <w:tcMar>
              <w:left w:type="dxa" w:w="93"/>
            </w:tcMar>
          </w:tcPr>
          <w:p w14:paraId="60020000">
            <w:pPr>
              <w:widowControl w:val="1"/>
              <w:spacing w:line="240" w:lineRule="auto"/>
              <w:ind w:firstLine="0"/>
            </w:pPr>
            <w:r>
              <w:rPr>
                <w:sz w:val="22"/>
              </w:rPr>
              <w:t xml:space="preserve">Проводилось ли местное обезболивание при лечении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61020000">
            <w:pPr>
              <w:widowControl w:val="1"/>
              <w:spacing w:line="240" w:lineRule="auto"/>
              <w:ind w:firstLine="0"/>
            </w:pPr>
            <w: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62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63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64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65020000">
            <w:pPr>
              <w:widowControl w:val="1"/>
              <w:spacing w:line="240" w:lineRule="auto"/>
              <w:ind w:firstLine="0"/>
              <w:rPr>
                <w:sz w:val="22"/>
              </w:rPr>
            </w:pPr>
            <w:r>
              <w:rPr>
                <w:sz w:val="22"/>
              </w:rPr>
              <w:t>1.4</w:t>
            </w:r>
          </w:p>
        </w:tc>
        <w:tc>
          <w:tcPr>
            <w:tcW w:type="dxa" w:w="4032"/>
            <w:tcBorders>
              <w:top w:color="000001" w:sz="4" w:val="single"/>
              <w:left w:color="000001" w:sz="4" w:val="single"/>
              <w:bottom w:color="000001" w:sz="4" w:val="single"/>
            </w:tcBorders>
            <w:shd w:fill="auto" w:val="clear"/>
            <w:tcMar>
              <w:left w:type="dxa" w:w="93"/>
            </w:tcMar>
          </w:tcPr>
          <w:p w14:paraId="66020000">
            <w:pPr>
              <w:widowControl w:val="1"/>
              <w:spacing w:line="240" w:lineRule="auto"/>
              <w:ind w:firstLine="0"/>
              <w:rPr>
                <w:sz w:val="22"/>
              </w:rPr>
            </w:pPr>
            <w:r>
              <w:rPr>
                <w:sz w:val="22"/>
              </w:rPr>
              <w:t>Проводились ли при постановке диагноза методика витального окрашивания зубов</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67020000">
            <w:pPr>
              <w:widowControl w:val="1"/>
              <w:spacing w:line="240" w:lineRule="auto"/>
              <w:ind w:firstLine="0"/>
            </w:pPr>
            <w: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68020000">
            <w:pPr>
              <w:widowControl w:val="1"/>
              <w:spacing w:line="240" w:lineRule="auto"/>
              <w:ind w:firstLine="0"/>
            </w:pPr>
            <w:r>
              <w:t>B</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69020000">
            <w:pPr>
              <w:widowControl w:val="1"/>
              <w:spacing w:line="240" w:lineRule="auto"/>
              <w:ind w:firstLine="0"/>
              <w:rPr>
                <w:sz w:val="22"/>
              </w:rPr>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6A020000">
            <w:pPr>
              <w:widowControl w:val="1"/>
              <w:spacing w:line="240" w:lineRule="auto"/>
              <w:ind w:firstLine="0"/>
              <w:rPr>
                <w:sz w:val="22"/>
              </w:rPr>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6B020000">
            <w:pPr>
              <w:widowControl w:val="1"/>
              <w:spacing w:line="240" w:lineRule="auto"/>
              <w:ind w:firstLine="0"/>
              <w:rPr>
                <w:sz w:val="22"/>
              </w:rPr>
            </w:pPr>
            <w:r>
              <w:rPr>
                <w:sz w:val="22"/>
              </w:rPr>
              <w:t>1.5</w:t>
            </w:r>
          </w:p>
        </w:tc>
        <w:tc>
          <w:tcPr>
            <w:tcW w:type="dxa" w:w="4032"/>
            <w:tcBorders>
              <w:top w:color="000001" w:sz="4" w:val="single"/>
              <w:left w:color="000001" w:sz="4" w:val="single"/>
              <w:bottom w:color="000001" w:sz="4" w:val="single"/>
            </w:tcBorders>
            <w:shd w:fill="auto" w:val="clear"/>
            <w:tcMar>
              <w:left w:type="dxa" w:w="93"/>
            </w:tcMar>
          </w:tcPr>
          <w:p w14:paraId="6C020000">
            <w:pPr>
              <w:widowControl w:val="1"/>
              <w:spacing w:line="240" w:lineRule="auto"/>
              <w:ind w:firstLine="0"/>
              <w:rPr>
                <w:sz w:val="22"/>
              </w:rPr>
            </w:pPr>
            <w:r>
              <w:rPr>
                <w:sz w:val="22"/>
              </w:rPr>
              <w:t>Проводилось ли фторирование твердых тканей зубов на стадии "белого (мелового) пятна"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6D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6E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6F020000">
            <w:pPr>
              <w:widowControl w:val="1"/>
              <w:spacing w:line="240" w:lineRule="auto"/>
              <w:ind w:firstLine="0"/>
              <w:rPr>
                <w:sz w:val="22"/>
              </w:rPr>
            </w:pPr>
            <w: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70020000">
            <w:pPr>
              <w:widowControl w:val="1"/>
              <w:spacing w:line="240" w:lineRule="auto"/>
              <w:ind w:firstLine="0"/>
              <w:rPr>
                <w:sz w:val="22"/>
              </w:rPr>
            </w:pPr>
            <w:r>
              <w:t>Нет □</w:t>
            </w:r>
          </w:p>
        </w:tc>
      </w:tr>
      <w:tr>
        <w:tc>
          <w:tcPr>
            <w:tcW w:type="dxa" w:w="566"/>
            <w:tcBorders>
              <w:top w:color="000001" w:sz="4" w:val="single"/>
              <w:left w:color="000001" w:sz="4" w:val="single"/>
              <w:bottom w:color="000001" w:sz="4" w:val="single"/>
            </w:tcBorders>
            <w:shd w:fill="auto" w:val="clear"/>
            <w:tcMar>
              <w:left w:type="dxa" w:w="93"/>
            </w:tcMar>
          </w:tcPr>
          <w:p w14:paraId="71020000">
            <w:pPr>
              <w:widowControl w:val="1"/>
              <w:spacing w:line="240" w:lineRule="auto"/>
              <w:ind w:firstLine="0"/>
              <w:rPr>
                <w:sz w:val="22"/>
              </w:rPr>
            </w:pPr>
            <w:r>
              <w:rPr>
                <w:sz w:val="22"/>
              </w:rPr>
              <w:t>1.6</w:t>
            </w:r>
          </w:p>
        </w:tc>
        <w:tc>
          <w:tcPr>
            <w:tcW w:type="dxa" w:w="4032"/>
            <w:tcBorders>
              <w:top w:color="000001" w:sz="4" w:val="single"/>
              <w:left w:color="000001" w:sz="4" w:val="single"/>
              <w:bottom w:color="000001" w:sz="4" w:val="single"/>
            </w:tcBorders>
            <w:shd w:fill="auto" w:val="clear"/>
            <w:tcMar>
              <w:left w:type="dxa" w:w="93"/>
            </w:tcMar>
          </w:tcPr>
          <w:p w14:paraId="72020000">
            <w:pPr>
              <w:widowControl w:val="1"/>
              <w:spacing w:line="240" w:lineRule="auto"/>
              <w:ind w:firstLine="0"/>
              <w:jc w:val="left"/>
              <w:rPr>
                <w:sz w:val="22"/>
              </w:rPr>
            </w:pPr>
            <w:r>
              <w:t xml:space="preserve">Проводилась ли реминерализирующая терапия на стадии "белого (мелового) пятна"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73020000">
            <w:pPr>
              <w:widowControl w:val="1"/>
              <w:spacing w:line="240" w:lineRule="auto"/>
              <w:ind w:firstLine="0"/>
            </w:pPr>
            <w: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74020000">
            <w:pPr>
              <w:widowControl w:val="1"/>
              <w:spacing w:line="240" w:lineRule="auto"/>
              <w:ind w:firstLine="0"/>
            </w:pPr>
            <w:r>
              <w:t>B</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75020000">
            <w:pPr>
              <w:widowControl w:val="1"/>
              <w:spacing w:line="240" w:lineRule="auto"/>
              <w:ind w:firstLine="0"/>
              <w:rPr>
                <w:sz w:val="22"/>
              </w:rPr>
            </w:pPr>
            <w: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76020000">
            <w:pPr>
              <w:widowControl w:val="1"/>
              <w:spacing w:line="240" w:lineRule="auto"/>
              <w:ind w:firstLine="0"/>
              <w:rPr>
                <w:sz w:val="22"/>
              </w:rPr>
            </w:pPr>
            <w:r>
              <w:t>Нет □</w:t>
            </w:r>
          </w:p>
        </w:tc>
      </w:tr>
      <w:tr>
        <w:tc>
          <w:tcPr>
            <w:tcW w:type="dxa" w:w="566"/>
            <w:tcBorders>
              <w:top w:color="000001" w:sz="4" w:val="single"/>
              <w:left w:color="000001" w:sz="4" w:val="single"/>
              <w:bottom w:color="000001" w:sz="4" w:val="single"/>
            </w:tcBorders>
            <w:shd w:fill="auto" w:val="clear"/>
            <w:tcMar>
              <w:left w:type="dxa" w:w="93"/>
            </w:tcMar>
          </w:tcPr>
          <w:p w14:paraId="77020000">
            <w:pPr>
              <w:widowControl w:val="1"/>
              <w:spacing w:line="240" w:lineRule="auto"/>
              <w:ind w:firstLine="0"/>
              <w:rPr>
                <w:sz w:val="22"/>
              </w:rPr>
            </w:pPr>
          </w:p>
        </w:tc>
        <w:tc>
          <w:tcPr>
            <w:tcW w:type="dxa" w:w="4032"/>
            <w:tcBorders>
              <w:top w:color="000001" w:sz="4" w:val="single"/>
              <w:left w:color="000001" w:sz="4" w:val="single"/>
              <w:bottom w:color="000001" w:sz="4" w:val="single"/>
            </w:tcBorders>
            <w:shd w:fill="auto" w:val="clear"/>
            <w:tcMar>
              <w:left w:type="dxa" w:w="93"/>
            </w:tcMar>
          </w:tcPr>
          <w:p w14:paraId="78020000">
            <w:pPr>
              <w:widowControl w:val="1"/>
              <w:spacing w:line="240" w:lineRule="auto"/>
              <w:ind w:firstLine="0"/>
              <w:jc w:val="left"/>
            </w:pP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79020000">
            <w:pPr>
              <w:widowControl w:val="1"/>
              <w:spacing w:line="240" w:lineRule="auto"/>
              <w:ind w:firstLine="0"/>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7A020000">
            <w:pPr>
              <w:widowControl w:val="1"/>
              <w:spacing w:line="240" w:lineRule="auto"/>
              <w:ind w:firstLine="0"/>
            </w:pP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7B020000">
            <w:pPr>
              <w:widowControl w:val="1"/>
              <w:spacing w:line="240" w:lineRule="auto"/>
              <w:ind w:firstLine="0"/>
            </w:pP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7C020000">
            <w:pPr>
              <w:widowControl w:val="1"/>
              <w:spacing w:line="240" w:lineRule="auto"/>
              <w:ind w:firstLine="0"/>
            </w:pPr>
          </w:p>
        </w:tc>
      </w:tr>
      <w:tr>
        <w:tc>
          <w:tcPr>
            <w:tcW w:type="dxa" w:w="566"/>
            <w:tcBorders>
              <w:top w:color="000001" w:sz="4" w:val="single"/>
              <w:left w:color="000001" w:sz="4" w:val="single"/>
              <w:bottom w:color="000001" w:sz="4" w:val="single"/>
            </w:tcBorders>
            <w:shd w:fill="auto" w:val="clear"/>
            <w:tcMar>
              <w:left w:type="dxa" w:w="93"/>
            </w:tcMar>
          </w:tcPr>
          <w:p w14:paraId="7D020000">
            <w:pPr>
              <w:widowControl w:val="1"/>
              <w:spacing w:line="240" w:lineRule="auto"/>
              <w:ind w:firstLine="0"/>
            </w:pPr>
            <w:r>
              <w:rPr>
                <w:sz w:val="22"/>
              </w:rPr>
              <w:t>1</w:t>
            </w:r>
            <w:r>
              <w:rPr>
                <w:sz w:val="22"/>
              </w:rPr>
              <w:t>.7</w:t>
            </w:r>
          </w:p>
        </w:tc>
        <w:tc>
          <w:tcPr>
            <w:tcW w:type="dxa" w:w="4032"/>
            <w:tcBorders>
              <w:top w:color="000001" w:sz="4" w:val="single"/>
              <w:left w:color="000001" w:sz="4" w:val="single"/>
              <w:bottom w:color="000001" w:sz="4" w:val="single"/>
            </w:tcBorders>
            <w:shd w:fill="auto" w:val="clear"/>
            <w:tcMar>
              <w:left w:type="dxa" w:w="93"/>
            </w:tcMar>
          </w:tcPr>
          <w:p w14:paraId="7E020000">
            <w:pPr>
              <w:widowControl w:val="1"/>
              <w:spacing w:line="240" w:lineRule="auto"/>
              <w:ind w:firstLine="0"/>
            </w:pPr>
            <w:r>
              <w:rPr>
                <w:sz w:val="22"/>
              </w:rPr>
              <w:t xml:space="preserve">Восстановлена ли анатомическая форма зуба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7F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80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81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82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83020000">
            <w:pPr>
              <w:widowControl w:val="1"/>
              <w:tabs>
                <w:tab w:leader="none" w:pos="0" w:val="left"/>
              </w:tabs>
              <w:spacing w:line="240" w:lineRule="auto"/>
              <w:ind w:firstLine="0"/>
              <w:rPr>
                <w:b w:val="1"/>
              </w:rPr>
            </w:pPr>
            <w:r>
              <w:rPr>
                <w:b w:val="1"/>
                <w:sz w:val="22"/>
              </w:rPr>
              <w:t>2.</w:t>
            </w:r>
          </w:p>
        </w:tc>
        <w:tc>
          <w:tcPr>
            <w:tcW w:type="dxa" w:w="4032"/>
            <w:tcBorders>
              <w:top w:color="000001" w:sz="4" w:val="single"/>
              <w:left w:color="000001" w:sz="4" w:val="single"/>
              <w:bottom w:color="000001" w:sz="4" w:val="single"/>
            </w:tcBorders>
            <w:shd w:fill="auto" w:val="clear"/>
            <w:tcMar>
              <w:left w:type="dxa" w:w="93"/>
            </w:tcMar>
          </w:tcPr>
          <w:p w14:paraId="84020000">
            <w:pPr>
              <w:widowControl w:val="1"/>
              <w:tabs>
                <w:tab w:leader="none" w:pos="0" w:val="left"/>
              </w:tabs>
              <w:spacing w:line="240" w:lineRule="auto"/>
              <w:ind w:firstLine="0"/>
            </w:pPr>
            <w:r>
              <w:rPr>
                <w:b w:val="1"/>
                <w:sz w:val="22"/>
              </w:rPr>
              <w:t xml:space="preserve"> Временные критерии качества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85020000">
            <w:pPr>
              <w:widowControl w:val="1"/>
              <w:spacing w:line="240" w:lineRule="auto"/>
              <w:ind w:firstLine="0" w:left="-108" w:right="-108"/>
              <w:contextualSpacing w:val="1"/>
              <w:jc w:val="center"/>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86020000">
            <w:pPr>
              <w:widowControl w:val="1"/>
              <w:spacing w:line="240" w:lineRule="auto"/>
              <w:ind w:firstLine="0" w:left="-108" w:right="-108"/>
              <w:contextualSpacing w:val="1"/>
              <w:jc w:val="center"/>
            </w:pP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87020000">
            <w:pPr>
              <w:widowControl w:val="1"/>
              <w:spacing w:line="240" w:lineRule="auto"/>
              <w:ind w:firstLine="0" w:left="-108" w:right="-108"/>
              <w:contextualSpacing w:val="1"/>
              <w:jc w:val="center"/>
            </w:pP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88020000">
            <w:pPr>
              <w:widowControl w:val="1"/>
              <w:spacing w:line="240" w:lineRule="auto"/>
              <w:ind w:firstLine="0" w:left="1440"/>
              <w:contextualSpacing w:val="1"/>
              <w:jc w:val="center"/>
            </w:pPr>
          </w:p>
        </w:tc>
      </w:tr>
      <w:tr>
        <w:trPr>
          <w:trHeight w:hRule="atLeast" w:val="283"/>
        </w:trPr>
        <w:tc>
          <w:tcPr>
            <w:tcW w:type="dxa" w:w="566"/>
            <w:tcBorders>
              <w:top w:color="000001" w:sz="4" w:val="single"/>
              <w:left w:color="000001" w:sz="4" w:val="single"/>
              <w:bottom w:color="000001" w:sz="4" w:val="single"/>
            </w:tcBorders>
            <w:shd w:fill="auto" w:val="clear"/>
            <w:tcMar>
              <w:left w:type="dxa" w:w="93"/>
            </w:tcMar>
          </w:tcPr>
          <w:p w14:paraId="89020000">
            <w:pPr>
              <w:widowControl w:val="1"/>
              <w:spacing w:line="240" w:lineRule="auto"/>
              <w:ind w:firstLine="0"/>
            </w:pPr>
            <w:r>
              <w:rPr>
                <w:sz w:val="22"/>
              </w:rPr>
              <w:t>2.1</w:t>
            </w:r>
          </w:p>
        </w:tc>
        <w:tc>
          <w:tcPr>
            <w:tcW w:type="dxa" w:w="4032"/>
            <w:tcBorders>
              <w:top w:color="000001" w:sz="4" w:val="single"/>
              <w:left w:color="000001" w:sz="4" w:val="single"/>
              <w:bottom w:color="000001" w:sz="4" w:val="single"/>
            </w:tcBorders>
            <w:shd w:fill="auto" w:val="clear"/>
            <w:tcMar>
              <w:left w:type="dxa" w:w="93"/>
            </w:tcMar>
          </w:tcPr>
          <w:p w14:paraId="8A020000">
            <w:pPr>
              <w:widowControl w:val="1"/>
              <w:spacing w:line="240" w:lineRule="auto"/>
              <w:ind w:firstLine="0"/>
            </w:pPr>
            <w:r>
              <w:rPr>
                <w:sz w:val="22"/>
              </w:rPr>
              <w:t>Стабилизация кариозного процесса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8B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8C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8D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8E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8F020000">
            <w:pPr>
              <w:widowControl w:val="1"/>
              <w:spacing w:line="240" w:lineRule="auto"/>
              <w:ind w:firstLine="0"/>
            </w:pPr>
            <w:r>
              <w:rPr>
                <w:sz w:val="22"/>
              </w:rPr>
              <w:t>2.2</w:t>
            </w:r>
          </w:p>
        </w:tc>
        <w:tc>
          <w:tcPr>
            <w:tcW w:type="dxa" w:w="4032"/>
            <w:tcBorders>
              <w:top w:color="000001" w:sz="4" w:val="single"/>
              <w:left w:color="000001" w:sz="4" w:val="single"/>
              <w:bottom w:color="000001" w:sz="4" w:val="single"/>
            </w:tcBorders>
            <w:shd w:fill="auto" w:val="clear"/>
            <w:tcMar>
              <w:left w:type="dxa" w:w="93"/>
            </w:tcMar>
          </w:tcPr>
          <w:p w14:paraId="90020000">
            <w:pPr>
              <w:widowControl w:val="1"/>
              <w:spacing w:line="240" w:lineRule="auto"/>
              <w:ind w:firstLine="0"/>
            </w:pPr>
            <w:r>
              <w:rPr>
                <w:sz w:val="22"/>
              </w:rPr>
              <w:t>Рекомендован профилактический осмотр  раз в 6 месяцев</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91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92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93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94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95020000">
            <w:pPr>
              <w:widowControl w:val="1"/>
              <w:tabs>
                <w:tab w:leader="none" w:pos="0" w:val="left"/>
              </w:tabs>
              <w:spacing w:line="240" w:lineRule="auto"/>
              <w:ind w:firstLine="0"/>
              <w:rPr>
                <w:b w:val="1"/>
              </w:rPr>
            </w:pPr>
            <w:r>
              <w:rPr>
                <w:b w:val="1"/>
                <w:sz w:val="22"/>
              </w:rPr>
              <w:t>3.</w:t>
            </w:r>
          </w:p>
        </w:tc>
        <w:tc>
          <w:tcPr>
            <w:tcW w:type="dxa" w:w="4032"/>
            <w:tcBorders>
              <w:top w:color="000001" w:sz="4" w:val="single"/>
              <w:left w:color="000001" w:sz="4" w:val="single"/>
              <w:bottom w:color="000001" w:sz="4" w:val="single"/>
            </w:tcBorders>
            <w:shd w:fill="auto" w:val="clear"/>
            <w:tcMar>
              <w:left w:type="dxa" w:w="93"/>
            </w:tcMar>
          </w:tcPr>
          <w:p w14:paraId="96020000">
            <w:pPr>
              <w:widowControl w:val="1"/>
              <w:tabs>
                <w:tab w:leader="none" w:pos="0" w:val="left"/>
              </w:tabs>
              <w:spacing w:line="240" w:lineRule="auto"/>
              <w:ind w:firstLine="0"/>
            </w:pPr>
            <w:r>
              <w:rPr>
                <w:b w:val="1"/>
                <w:sz w:val="22"/>
              </w:rPr>
              <w:t>Результативные критерии качества</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97020000">
            <w:pPr>
              <w:widowControl w:val="1"/>
              <w:spacing w:line="240" w:lineRule="auto"/>
              <w:ind w:firstLine="0" w:left="-108" w:right="-108"/>
              <w:contextualSpacing w:val="1"/>
              <w:jc w:val="center"/>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98020000">
            <w:pPr>
              <w:widowControl w:val="1"/>
              <w:spacing w:line="240" w:lineRule="auto"/>
              <w:ind w:firstLine="0" w:left="-108" w:right="-108"/>
              <w:contextualSpacing w:val="1"/>
              <w:jc w:val="center"/>
            </w:pP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99020000">
            <w:pPr>
              <w:widowControl w:val="1"/>
              <w:spacing w:line="240" w:lineRule="auto"/>
              <w:ind w:firstLine="0" w:left="-108" w:right="-108"/>
              <w:contextualSpacing w:val="1"/>
              <w:jc w:val="center"/>
            </w:pP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9A020000">
            <w:pPr>
              <w:widowControl w:val="1"/>
              <w:spacing w:line="240" w:lineRule="auto"/>
              <w:ind w:firstLine="0" w:left="720"/>
              <w:contextualSpacing w:val="1"/>
              <w:jc w:val="center"/>
            </w:pPr>
          </w:p>
        </w:tc>
      </w:tr>
      <w:tr>
        <w:tc>
          <w:tcPr>
            <w:tcW w:type="dxa" w:w="566"/>
            <w:tcBorders>
              <w:top w:color="000001" w:sz="4" w:val="single"/>
              <w:left w:color="000001" w:sz="4" w:val="single"/>
              <w:bottom w:color="000001" w:sz="4" w:val="single"/>
            </w:tcBorders>
            <w:shd w:fill="auto" w:val="clear"/>
            <w:tcMar>
              <w:left w:type="dxa" w:w="93"/>
            </w:tcMar>
          </w:tcPr>
          <w:p w14:paraId="9B020000">
            <w:pPr>
              <w:widowControl w:val="1"/>
              <w:spacing w:line="240" w:lineRule="auto"/>
              <w:ind w:firstLine="0"/>
            </w:pPr>
            <w:r>
              <w:rPr>
                <w:sz w:val="22"/>
              </w:rPr>
              <w:t>3.1</w:t>
            </w:r>
          </w:p>
        </w:tc>
        <w:tc>
          <w:tcPr>
            <w:tcW w:type="dxa" w:w="4032"/>
            <w:tcBorders>
              <w:top w:color="000001" w:sz="4" w:val="single"/>
              <w:left w:color="000001" w:sz="4" w:val="single"/>
              <w:bottom w:color="000001" w:sz="4" w:val="single"/>
            </w:tcBorders>
            <w:shd w:fill="auto" w:val="clear"/>
            <w:tcMar>
              <w:left w:type="dxa" w:w="93"/>
            </w:tcMar>
          </w:tcPr>
          <w:p w14:paraId="9C020000">
            <w:pPr>
              <w:widowControl w:val="1"/>
              <w:spacing w:line="240" w:lineRule="auto"/>
              <w:ind w:firstLine="0"/>
            </w:pPr>
            <w:r>
              <w:rPr>
                <w:sz w:val="22"/>
              </w:rPr>
              <w:t xml:space="preserve">Восстановление функциональной ценности зуба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9D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9E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9F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A0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A1020000">
            <w:pPr>
              <w:widowControl w:val="1"/>
              <w:spacing w:line="240" w:lineRule="auto"/>
              <w:ind w:firstLine="0"/>
            </w:pPr>
            <w:r>
              <w:rPr>
                <w:sz w:val="22"/>
              </w:rPr>
              <w:t>3.2</w:t>
            </w:r>
          </w:p>
        </w:tc>
        <w:tc>
          <w:tcPr>
            <w:tcW w:type="dxa" w:w="4032"/>
            <w:tcBorders>
              <w:top w:color="000001" w:sz="4" w:val="single"/>
              <w:left w:color="000001" w:sz="4" w:val="single"/>
              <w:bottom w:color="000001" w:sz="4" w:val="single"/>
            </w:tcBorders>
            <w:shd w:fill="auto" w:val="clear"/>
            <w:tcMar>
              <w:left w:type="dxa" w:w="93"/>
            </w:tcMar>
          </w:tcPr>
          <w:p w14:paraId="A2020000">
            <w:pPr>
              <w:widowControl w:val="1"/>
              <w:spacing w:line="240" w:lineRule="auto"/>
              <w:ind w:firstLine="0"/>
            </w:pPr>
            <w:r>
              <w:rPr>
                <w:sz w:val="22"/>
              </w:rPr>
              <w:t>Восстановление функции зубочелюстной системы</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A3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A4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A5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A6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A7020000">
            <w:pPr>
              <w:widowControl w:val="1"/>
              <w:spacing w:line="240" w:lineRule="auto"/>
              <w:ind w:firstLine="0"/>
            </w:pPr>
            <w:r>
              <w:rPr>
                <w:sz w:val="22"/>
              </w:rPr>
              <w:t>3.3</w:t>
            </w:r>
          </w:p>
        </w:tc>
        <w:tc>
          <w:tcPr>
            <w:tcW w:type="dxa" w:w="4032"/>
            <w:tcBorders>
              <w:top w:color="000001" w:sz="4" w:val="single"/>
              <w:left w:color="000001" w:sz="4" w:val="single"/>
              <w:bottom w:color="000001" w:sz="4" w:val="single"/>
            </w:tcBorders>
            <w:shd w:fill="auto" w:val="clear"/>
            <w:tcMar>
              <w:left w:type="dxa" w:w="93"/>
            </w:tcMar>
          </w:tcPr>
          <w:p w14:paraId="A8020000">
            <w:pPr>
              <w:widowControl w:val="1"/>
              <w:spacing w:line="240" w:lineRule="auto"/>
              <w:ind w:firstLine="0"/>
            </w:pPr>
            <w:r>
              <w:rPr>
                <w:sz w:val="22"/>
              </w:rPr>
              <w:t>Восстановление эстетики</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A9020000">
            <w:pPr>
              <w:widowControl w:val="1"/>
              <w:spacing w:line="240" w:lineRule="auto"/>
              <w:ind w:firstLine="0"/>
            </w:pPr>
            <w:r>
              <w:t>2</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AA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AB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AC020000">
            <w:pPr>
              <w:widowControl w:val="1"/>
              <w:spacing w:line="240" w:lineRule="auto"/>
              <w:ind w:firstLine="0"/>
            </w:pPr>
            <w:r>
              <w:rPr>
                <w:sz w:val="22"/>
              </w:rPr>
              <w:t>Нет □</w:t>
            </w:r>
          </w:p>
        </w:tc>
      </w:tr>
      <w:tr>
        <w:tc>
          <w:tcPr>
            <w:tcW w:type="dxa" w:w="566"/>
            <w:tcBorders>
              <w:top w:color="000001" w:sz="4" w:val="single"/>
              <w:left w:color="000001" w:sz="4" w:val="single"/>
              <w:bottom w:color="000001" w:sz="4" w:val="single"/>
            </w:tcBorders>
            <w:shd w:fill="auto" w:val="clear"/>
            <w:tcMar>
              <w:left w:type="dxa" w:w="93"/>
            </w:tcMar>
          </w:tcPr>
          <w:p w14:paraId="AD020000">
            <w:pPr>
              <w:widowControl w:val="1"/>
              <w:spacing w:line="240" w:lineRule="auto"/>
              <w:ind w:firstLine="0"/>
              <w:rPr>
                <w:b w:val="1"/>
              </w:rPr>
            </w:pPr>
            <w:r>
              <w:rPr>
                <w:b w:val="1"/>
              </w:rPr>
              <w:t>4.</w:t>
            </w:r>
          </w:p>
        </w:tc>
        <w:tc>
          <w:tcPr>
            <w:tcW w:type="dxa" w:w="4032"/>
            <w:tcBorders>
              <w:top w:color="000001" w:sz="4" w:val="single"/>
              <w:left w:color="000001" w:sz="4" w:val="single"/>
              <w:bottom w:color="000001" w:sz="4" w:val="single"/>
            </w:tcBorders>
            <w:shd w:fill="auto" w:val="clear"/>
            <w:tcMar>
              <w:left w:type="dxa" w:w="93"/>
            </w:tcMar>
          </w:tcPr>
          <w:p w14:paraId="AE020000">
            <w:pPr>
              <w:widowControl w:val="1"/>
              <w:spacing w:line="240" w:lineRule="auto"/>
              <w:ind w:firstLine="0"/>
              <w:rPr>
                <w:b w:val="1"/>
              </w:rPr>
            </w:pPr>
            <w:r>
              <w:rPr>
                <w:b w:val="1"/>
                <w:sz w:val="22"/>
              </w:rPr>
              <w:t xml:space="preserve"> Дополнительные критерии</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AF020000">
            <w:pPr>
              <w:widowControl w:val="1"/>
              <w:spacing w:line="240" w:lineRule="auto"/>
              <w:ind w:firstLine="0" w:left="360"/>
              <w:rPr>
                <w:b w:val="1"/>
              </w:rPr>
            </w:pP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B0020000">
            <w:pPr>
              <w:widowControl w:val="1"/>
              <w:spacing w:line="240" w:lineRule="auto"/>
              <w:ind w:firstLine="0" w:left="360"/>
              <w:rPr>
                <w:b w:val="1"/>
              </w:rPr>
            </w:pP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B1020000">
            <w:pPr>
              <w:widowControl w:val="1"/>
              <w:spacing w:line="240" w:lineRule="auto"/>
              <w:ind w:firstLine="0" w:left="360"/>
              <w:rPr>
                <w:b w:val="1"/>
              </w:rPr>
            </w:pP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B2020000">
            <w:pPr>
              <w:widowControl w:val="1"/>
              <w:spacing w:line="240" w:lineRule="auto"/>
              <w:ind w:firstLine="0" w:left="360"/>
              <w:rPr>
                <w:b w:val="1"/>
              </w:rPr>
            </w:pPr>
          </w:p>
        </w:tc>
      </w:tr>
      <w:tr>
        <w:tc>
          <w:tcPr>
            <w:tcW w:type="dxa" w:w="566"/>
            <w:tcBorders>
              <w:top w:color="000001" w:sz="4" w:val="single"/>
              <w:left w:color="000001" w:sz="4" w:val="single"/>
              <w:bottom w:color="000001" w:sz="4" w:val="single"/>
            </w:tcBorders>
            <w:shd w:fill="auto" w:val="clear"/>
            <w:tcMar>
              <w:left w:type="dxa" w:w="93"/>
            </w:tcMar>
          </w:tcPr>
          <w:p w14:paraId="B3020000">
            <w:pPr>
              <w:widowControl w:val="1"/>
              <w:spacing w:line="240" w:lineRule="auto"/>
              <w:ind w:firstLine="0"/>
            </w:pPr>
            <w:r>
              <w:t>4.1</w:t>
            </w:r>
          </w:p>
        </w:tc>
        <w:tc>
          <w:tcPr>
            <w:tcW w:type="dxa" w:w="4032"/>
            <w:tcBorders>
              <w:top w:color="000001" w:sz="4" w:val="single"/>
              <w:left w:color="000001" w:sz="4" w:val="single"/>
              <w:bottom w:color="000001" w:sz="4" w:val="single"/>
            </w:tcBorders>
            <w:shd w:fill="auto" w:val="clear"/>
            <w:tcMar>
              <w:left w:type="dxa" w:w="93"/>
            </w:tcMar>
          </w:tcPr>
          <w:p w14:paraId="B4020000">
            <w:pPr>
              <w:widowControl w:val="1"/>
              <w:spacing w:line="240" w:lineRule="auto"/>
              <w:ind w:firstLine="0"/>
            </w:pPr>
            <w:r>
              <w:rPr>
                <w:sz w:val="22"/>
              </w:rPr>
              <w:t xml:space="preserve">Правильность и полнота заполнения медицинской документации </w:t>
            </w:r>
          </w:p>
        </w:tc>
        <w:tc>
          <w:tcPr>
            <w:tcW w:type="dxa" w:w="1699"/>
            <w:tcBorders>
              <w:top w:color="000001" w:sz="4" w:val="single"/>
              <w:left w:color="000001" w:sz="4" w:val="single"/>
              <w:bottom w:color="000001" w:sz="4" w:val="single"/>
              <w:right w:color="00000A" w:sz="4" w:val="single"/>
            </w:tcBorders>
            <w:shd w:fill="auto" w:val="clear"/>
            <w:tcMar>
              <w:left w:type="dxa" w:w="93"/>
            </w:tcMar>
          </w:tcPr>
          <w:p w14:paraId="B5020000">
            <w:pPr>
              <w:widowControl w:val="1"/>
              <w:spacing w:line="240" w:lineRule="auto"/>
              <w:ind w:firstLine="0"/>
            </w:pPr>
            <w:r>
              <w:t>1</w:t>
            </w:r>
          </w:p>
        </w:tc>
        <w:tc>
          <w:tcPr>
            <w:tcW w:type="dxa" w:w="1840"/>
            <w:tcBorders>
              <w:top w:color="00000A" w:sz="4" w:val="single"/>
              <w:left w:color="00000A" w:sz="4" w:val="single"/>
              <w:bottom w:color="00000A" w:sz="4" w:val="single"/>
              <w:right w:color="00000A" w:sz="4" w:val="single"/>
            </w:tcBorders>
            <w:shd w:fill="auto" w:val="clear"/>
            <w:tcMar>
              <w:left w:type="dxa" w:w="93"/>
            </w:tcMar>
          </w:tcPr>
          <w:p w14:paraId="B6020000">
            <w:pPr>
              <w:widowControl w:val="1"/>
              <w:spacing w:line="240" w:lineRule="auto"/>
              <w:ind w:firstLine="0"/>
            </w:pPr>
            <w:r>
              <w:t>В</w:t>
            </w:r>
          </w:p>
        </w:tc>
        <w:tc>
          <w:tcPr>
            <w:tcW w:type="dxa" w:w="774"/>
            <w:tcBorders>
              <w:top w:color="00000A" w:sz="4" w:val="single"/>
              <w:left w:color="00000A" w:sz="4" w:val="single"/>
              <w:bottom w:color="00000A" w:sz="4" w:val="single"/>
              <w:right w:color="00000A" w:sz="4" w:val="single"/>
            </w:tcBorders>
            <w:shd w:fill="auto" w:val="clear"/>
            <w:tcMar>
              <w:left w:type="dxa" w:w="93"/>
            </w:tcMar>
          </w:tcPr>
          <w:p w14:paraId="B7020000">
            <w:pPr>
              <w:widowControl w:val="1"/>
              <w:spacing w:line="240" w:lineRule="auto"/>
              <w:ind w:firstLine="0"/>
            </w:pPr>
            <w:r>
              <w:rPr>
                <w:sz w:val="22"/>
              </w:rPr>
              <w:t>Да □</w:t>
            </w:r>
          </w:p>
        </w:tc>
        <w:tc>
          <w:tcPr>
            <w:tcW w:type="dxa" w:w="871"/>
            <w:tcBorders>
              <w:top w:color="00000A" w:sz="4" w:val="single"/>
              <w:left w:color="00000A" w:sz="4" w:val="single"/>
              <w:bottom w:color="00000A" w:sz="4" w:val="single"/>
              <w:right w:color="00000A" w:sz="4" w:val="single"/>
            </w:tcBorders>
            <w:shd w:fill="auto" w:val="clear"/>
            <w:tcMar>
              <w:left w:type="dxa" w:w="93"/>
            </w:tcMar>
          </w:tcPr>
          <w:p w14:paraId="B8020000">
            <w:pPr>
              <w:widowControl w:val="1"/>
              <w:spacing w:line="240" w:lineRule="auto"/>
              <w:ind w:firstLine="0"/>
            </w:pPr>
            <w:r>
              <w:rPr>
                <w:sz w:val="22"/>
              </w:rPr>
              <w:t>Нет □</w:t>
            </w:r>
          </w:p>
        </w:tc>
      </w:tr>
    </w:tbl>
    <w:p w14:paraId="B9020000">
      <w:pPr>
        <w:pStyle w:val="Style_17"/>
      </w:pPr>
    </w:p>
    <w:p w14:paraId="BA020000">
      <w:pPr>
        <w:pStyle w:val="Style_17"/>
      </w:pPr>
    </w:p>
    <w:p w14:paraId="BB020000">
      <w:pPr>
        <w:pStyle w:val="Style_17"/>
      </w:pPr>
    </w:p>
    <w:p w14:paraId="BC020000">
      <w:pPr>
        <w:pStyle w:val="Style_16"/>
        <w:widowControl w:val="1"/>
        <w:ind/>
        <w:jc w:val="both"/>
      </w:pPr>
    </w:p>
    <w:p w14:paraId="BD020000">
      <w:pPr>
        <w:widowControl w:val="1"/>
        <w:ind/>
        <w:jc w:val="center"/>
        <w:rPr>
          <w:b w:val="1"/>
          <w:sz w:val="28"/>
        </w:rPr>
      </w:pPr>
      <w:bookmarkStart w:id="56" w:name="__RefHeading___doc_bible"/>
      <w:bookmarkEnd w:id="55"/>
      <w:r>
        <w:rPr>
          <w:b w:val="1"/>
          <w:sz w:val="28"/>
        </w:rPr>
        <w:br w:type="page"/>
      </w:r>
    </w:p>
    <w:p w14:paraId="BE020000">
      <w:bookmarkStart w:id="57" w:name="__RefHeading___36"/>
      <w:bookmarkEnd w:id="57"/>
      <w:pPr>
        <w:pStyle w:val="Style_16"/>
      </w:pPr>
      <w:r>
        <w:t xml:space="preserve">XIII. </w:t>
      </w:r>
      <w:r>
        <w:t>Список литературы</w:t>
      </w:r>
      <w:bookmarkEnd w:id="56"/>
    </w:p>
    <w:p w14:paraId="BF020000">
      <w:pPr>
        <w:pStyle w:val="Style_6"/>
        <w:widowControl w:val="1"/>
        <w:numPr>
          <w:ilvl w:val="0"/>
          <w:numId w:val="13"/>
        </w:numPr>
        <w:ind w:hanging="709" w:left="993"/>
      </w:pPr>
      <w:r>
        <w:t>Дмитриева Л. А., Терапевтическая стоматология: национальное руководство / под ред. Л. А. Дмитриевой, Ю. М. Максимовского. - 2-е изд., перераб. и доп. - М. : ГЭОТАР-Медиа, 2015. – 888 с.</w:t>
      </w:r>
    </w:p>
    <w:p w14:paraId="C0020000">
      <w:pPr>
        <w:pStyle w:val="Style_6"/>
        <w:widowControl w:val="1"/>
        <w:numPr>
          <w:ilvl w:val="0"/>
          <w:numId w:val="13"/>
        </w:numPr>
        <w:ind w:hanging="709" w:left="993"/>
      </w:pPr>
      <w:bookmarkStart w:id="58" w:name="_Hlk26038664"/>
      <w:r>
        <w:t>Клинические рекомендации (протоколы лечения при диагнозе кариес зубов (Утверждены Постановление №15 Совета Ассоциации общественных объединений «Стоматологическая Ассоциация России» от 30 сентября 2014 года)</w:t>
      </w:r>
      <w:bookmarkEnd w:id="58"/>
      <w:r>
        <w:t xml:space="preserve"> </w:t>
      </w:r>
    </w:p>
    <w:p w14:paraId="C1020000">
      <w:pPr>
        <w:pStyle w:val="Style_6"/>
        <w:widowControl w:val="1"/>
        <w:numPr>
          <w:ilvl w:val="0"/>
          <w:numId w:val="13"/>
        </w:numPr>
        <w:ind w:hanging="709" w:left="993"/>
      </w:pPr>
      <w:r>
        <w:t>Леус П.А. Микробный биофильм на зубах. Физиологическая роль и патогенное значение. – М.: Издательский Дом «STBOOK», 2008. – 88 с.</w:t>
      </w:r>
    </w:p>
    <w:p w14:paraId="C2020000">
      <w:pPr>
        <w:pStyle w:val="Style_6"/>
        <w:widowControl w:val="1"/>
        <w:numPr>
          <w:ilvl w:val="0"/>
          <w:numId w:val="13"/>
        </w:numPr>
        <w:ind w:hanging="709" w:left="993"/>
      </w:pPr>
      <w:r>
        <w:t>Mosby’s Dental Dictionary. 4th Edition. – Mosby, St.-Louis, USA. 2019. – 896 p.</w:t>
      </w:r>
    </w:p>
    <w:p w14:paraId="C3020000">
      <w:pPr>
        <w:pStyle w:val="Style_6"/>
        <w:widowControl w:val="1"/>
        <w:numPr>
          <w:ilvl w:val="0"/>
          <w:numId w:val="13"/>
        </w:numPr>
        <w:ind w:hanging="709" w:left="993"/>
      </w:pPr>
      <w:r>
        <w:t>Oral health surveys: basic methods – 5th ed. – WHO Press, WHO, 2013. – 137 p.</w:t>
      </w:r>
    </w:p>
    <w:p w14:paraId="C4020000">
      <w:pPr>
        <w:pStyle w:val="Style_6"/>
        <w:widowControl w:val="1"/>
        <w:numPr>
          <w:ilvl w:val="0"/>
          <w:numId w:val="13"/>
        </w:numPr>
        <w:ind w:hanging="709" w:left="993"/>
      </w:pPr>
      <w:r>
        <w:t>Максимовский Ю.М., Митронин А.В. Терапевтическая стоматология. Кариесология и заболевания твердых тканей зубов. Эндодонтия / под ред. Ю.М.Максимовского. – М.: ГЭОТАР-Медиа, 2016. – 480 с.</w:t>
      </w:r>
    </w:p>
    <w:p w14:paraId="C5020000">
      <w:pPr>
        <w:pStyle w:val="Style_6"/>
        <w:widowControl w:val="1"/>
        <w:numPr>
          <w:ilvl w:val="0"/>
          <w:numId w:val="13"/>
        </w:numPr>
        <w:ind w:hanging="709" w:left="993"/>
      </w:pPr>
      <w:r>
        <w:t>Цепов Л.М., Николаев А.И. Практическая терапевтическая стоматология. – М.: МедПресс-Информ, 2014. – 928 с.</w:t>
      </w:r>
    </w:p>
    <w:p w14:paraId="C6020000">
      <w:pPr>
        <w:pStyle w:val="Style_6"/>
        <w:widowControl w:val="1"/>
        <w:numPr>
          <w:ilvl w:val="0"/>
          <w:numId w:val="13"/>
        </w:numPr>
        <w:ind w:hanging="709" w:left="993"/>
      </w:pPr>
      <w:r>
        <w:t>Терапевтическая стоматология / под ред. Е.В.Боровского. – М.: МИА, 2011. – 840 с.</w:t>
      </w:r>
    </w:p>
    <w:p w14:paraId="C7020000">
      <w:pPr>
        <w:pStyle w:val="Style_6"/>
        <w:widowControl w:val="1"/>
        <w:numPr>
          <w:ilvl w:val="0"/>
          <w:numId w:val="13"/>
        </w:numPr>
        <w:ind w:hanging="709" w:left="993"/>
      </w:pPr>
      <w:r>
        <w:t xml:space="preserve">Fejerskov O, Kidd EAM, eds. Dental caries: the disease and its clinical management. </w:t>
      </w:r>
      <w:r>
        <w:t>Copenhagen, Denmark. Blackwell Monksgaard, 2003.</w:t>
      </w:r>
    </w:p>
    <w:p w14:paraId="C8020000">
      <w:pPr>
        <w:pStyle w:val="Style_6"/>
        <w:widowControl w:val="1"/>
        <w:numPr>
          <w:ilvl w:val="0"/>
          <w:numId w:val="13"/>
        </w:numPr>
        <w:ind w:hanging="709" w:left="993"/>
      </w:pPr>
      <w:r>
        <w:t xml:space="preserve">Fejerskov O. Changing paradigms in concepts on dental caries: consequences for oral health care. </w:t>
      </w:r>
      <w:r>
        <w:t>Caries Res 2004; 38: 182–91.</w:t>
      </w:r>
    </w:p>
    <w:p w14:paraId="C9020000">
      <w:pPr>
        <w:pStyle w:val="Style_6"/>
        <w:widowControl w:val="1"/>
        <w:numPr>
          <w:ilvl w:val="0"/>
          <w:numId w:val="13"/>
        </w:numPr>
        <w:ind w:hanging="709" w:left="993"/>
      </w:pPr>
      <w:r>
        <w:t xml:space="preserve">Scheie A., Peterson F. The biofilm concept: consequences for future prophylaxis of oral diseases? </w:t>
      </w:r>
      <w:r>
        <w:t>Crit Rev Oral Biol Med 2004; 15: 4–12.</w:t>
      </w:r>
    </w:p>
    <w:p w14:paraId="CA020000">
      <w:pPr>
        <w:pStyle w:val="Style_6"/>
        <w:widowControl w:val="1"/>
        <w:numPr>
          <w:ilvl w:val="0"/>
          <w:numId w:val="13"/>
        </w:numPr>
        <w:ind w:hanging="709" w:left="993"/>
      </w:pPr>
      <w:r>
        <w:t xml:space="preserve">Caufield P.W., Griffen A.L. Dental caries. An infectious and transmissible disease. </w:t>
      </w:r>
      <w:r>
        <w:t>Pediatr Clin North Am 2000; 47: 1001–19.</w:t>
      </w:r>
    </w:p>
    <w:p w14:paraId="CB020000">
      <w:pPr>
        <w:pStyle w:val="Style_6"/>
        <w:widowControl w:val="1"/>
        <w:numPr>
          <w:ilvl w:val="0"/>
          <w:numId w:val="13"/>
        </w:numPr>
        <w:ind w:hanging="709" w:left="993"/>
      </w:pPr>
      <w:r>
        <w:t xml:space="preserve">Selwitz, R. H., Ismail, A. I., Pitts, N. B. Dental caries. </w:t>
      </w:r>
      <w:r>
        <w:t>The Lancet, 2007; 369(9555): 51–59. doi:10.1016/s0140-6736(07)60031-2</w:t>
      </w:r>
    </w:p>
    <w:p w14:paraId="CC020000">
      <w:pPr>
        <w:pStyle w:val="Style_6"/>
        <w:widowControl w:val="1"/>
        <w:numPr>
          <w:ilvl w:val="0"/>
          <w:numId w:val="13"/>
        </w:numPr>
        <w:ind w:hanging="709" w:left="993"/>
      </w:pPr>
      <w:r>
        <w:t>Pitts NB, Zero DT, Marsh PD, Ekstrand K, Weintraub JA, Ramos-Gomez F, Tagami J, Twetman S, Tsakos G, Ismail A. Dental caries. Nat Rev Dis Primers. 2017 May 25;3:17030. doi: 10.1038/nrdp.2017.30. Review. PubMed PMID: 28540937</w:t>
      </w:r>
    </w:p>
    <w:p w14:paraId="CD020000">
      <w:pPr>
        <w:pStyle w:val="Style_6"/>
        <w:widowControl w:val="1"/>
        <w:numPr>
          <w:ilvl w:val="0"/>
          <w:numId w:val="13"/>
        </w:numPr>
        <w:ind w:hanging="709" w:left="993"/>
      </w:pPr>
      <w:r>
        <w:t xml:space="preserve">Hakan Çolak, Çoruh T. Dülgergil, Mehmet Dalli, and Mehmet Mustafa Hamidi. Early childhood caries up-date: a review of causes, diagnoses, and treatments // J Nat Sci Biol Med. – 2013. – No 4 (1). – </w:t>
      </w:r>
      <w:r>
        <w:t>Р</w:t>
      </w:r>
      <w:r>
        <w:t>. 29-38].</w:t>
      </w:r>
    </w:p>
    <w:p w14:paraId="CE020000">
      <w:pPr>
        <w:pStyle w:val="Style_6"/>
        <w:widowControl w:val="1"/>
        <w:numPr>
          <w:ilvl w:val="0"/>
          <w:numId w:val="13"/>
        </w:numPr>
        <w:ind w:hanging="709" w:left="993"/>
      </w:pPr>
      <w:r>
        <w:t xml:space="preserve">Alazmah A. Early Childhood Caries: A Review. J Contemp Dent Pract. 2017 Aug 1;18(8):732-737. </w:t>
      </w:r>
      <w:r>
        <w:t>Review. PubMed PMID: 28816199.</w:t>
      </w:r>
    </w:p>
    <w:p w14:paraId="CF020000">
      <w:pPr>
        <w:pStyle w:val="Style_6"/>
        <w:widowControl w:val="1"/>
        <w:numPr>
          <w:ilvl w:val="0"/>
          <w:numId w:val="13"/>
        </w:numPr>
        <w:ind w:hanging="709" w:left="993"/>
      </w:pPr>
      <w:r>
        <w:t xml:space="preserve">Javed F, Feng C, Kopycka-Kedzierawski DT. Incidence of early childhood caries: A systematic review and meta-analysis. </w:t>
      </w:r>
      <w:r>
        <w:t>J Investig Clin Dent. 2017 Nov;8(4). doi: 10.1111/jicd.12238.</w:t>
      </w:r>
    </w:p>
    <w:p w14:paraId="D0020000">
      <w:pPr>
        <w:pStyle w:val="Style_6"/>
        <w:widowControl w:val="1"/>
        <w:numPr>
          <w:ilvl w:val="0"/>
          <w:numId w:val="13"/>
        </w:numPr>
        <w:ind w:hanging="709" w:left="993"/>
      </w:pPr>
      <w:r>
        <w:t>Шаковец Н.В., Антоненко А.Н. Эпидемиология, этиология, оценка риска, профилактика и лечение кариеса зубов у детей раннего возраста//Современная стоматология. – 2019. – № 3 (76). – С. 14-19.</w:t>
      </w:r>
    </w:p>
    <w:p w14:paraId="D1020000">
      <w:pPr>
        <w:pStyle w:val="Style_6"/>
        <w:widowControl w:val="1"/>
        <w:numPr>
          <w:ilvl w:val="0"/>
          <w:numId w:val="13"/>
        </w:numPr>
        <w:ind w:hanging="709" w:left="993"/>
      </w:pPr>
      <w:r>
        <w:t>Shulman J.D., Cappelli D.P. Epidemiology of Dental caries Prevention in Clinical Oral Health Care, 2008</w:t>
      </w:r>
    </w:p>
    <w:p w14:paraId="D2020000">
      <w:pPr>
        <w:pStyle w:val="Style_6"/>
        <w:widowControl w:val="1"/>
        <w:numPr>
          <w:ilvl w:val="0"/>
          <w:numId w:val="13"/>
        </w:numPr>
        <w:ind w:hanging="709" w:left="993"/>
      </w:pPr>
      <w:r>
        <w:t>Дедова Л. Н.,. Кандрукевич О. В. Кариес корня: клиника, диагностика, лечение: учеб.-метод. пособие /– Минск : БГМУ, 2013. – 39 с.</w:t>
      </w:r>
    </w:p>
    <w:p w14:paraId="D3020000">
      <w:pPr>
        <w:pStyle w:val="Style_6"/>
        <w:widowControl w:val="1"/>
        <w:numPr>
          <w:ilvl w:val="0"/>
          <w:numId w:val="13"/>
        </w:numPr>
        <w:ind w:hanging="709" w:left="993"/>
      </w:pPr>
      <w:r>
        <w:t>Кузьмина Э. М, Кузьмина И.Н., Васина С.А., Смирнова Т.А. Стоматологическая заболеваемость населения России. М., 2009. 236 с.</w:t>
      </w:r>
    </w:p>
    <w:p w14:paraId="D4020000">
      <w:pPr>
        <w:pStyle w:val="Style_6"/>
        <w:widowControl w:val="1"/>
        <w:numPr>
          <w:ilvl w:val="0"/>
          <w:numId w:val="13"/>
        </w:numPr>
        <w:ind w:hanging="709" w:left="993"/>
      </w:pPr>
      <w:r>
        <w:t>Волков Е.А., Янушевич О.О.. «Терапевтическая стоматология. Болезни зубов.»Учебник (в 3 частях). Москва, 2012</w:t>
      </w:r>
    </w:p>
    <w:p w14:paraId="D5020000">
      <w:pPr>
        <w:pStyle w:val="Style_6"/>
        <w:widowControl w:val="1"/>
        <w:numPr>
          <w:ilvl w:val="0"/>
          <w:numId w:val="13"/>
        </w:numPr>
        <w:ind w:hanging="709" w:left="993"/>
      </w:pPr>
      <w:r>
        <w:t>Макеева И.М., Грудянов А.И., Макеева М.К., Сарапульцева М.В., Чикунов С.О. Опыт и перспективы дальнейшего применения Международной классификации болезней в стоматологической практике  // Стоматология для всех. - 2016. - № 4.- С. 6-13</w:t>
      </w:r>
    </w:p>
    <w:p w14:paraId="D6020000">
      <w:pPr>
        <w:pStyle w:val="Style_6"/>
        <w:widowControl w:val="1"/>
        <w:numPr>
          <w:ilvl w:val="0"/>
          <w:numId w:val="13"/>
        </w:numPr>
        <w:ind w:hanging="709" w:left="993"/>
      </w:pPr>
      <w:r>
        <w:t>Алимова М.Я., Максимовская Л.Н., Персин Л.С., Янушевич О.О. Стоматология. Международная классификация болезней/ М.: ГЭОТАР. -2016.- 204с</w:t>
      </w:r>
    </w:p>
    <w:p w14:paraId="D7020000">
      <w:pPr>
        <w:pStyle w:val="Style_6"/>
        <w:widowControl w:val="1"/>
        <w:numPr>
          <w:ilvl w:val="0"/>
          <w:numId w:val="13"/>
        </w:numPr>
        <w:ind w:hanging="709" w:left="993"/>
      </w:pPr>
      <w:r>
        <w:t>Аржанцев А.П., Ахмедова З.Р., Антонова И.И. Рентгенодиагностика кариеса зубов// Стоматология 2016 № 6-2 С.99-199</w:t>
      </w:r>
    </w:p>
    <w:p w14:paraId="D8020000">
      <w:pPr>
        <w:pStyle w:val="Style_6"/>
        <w:widowControl w:val="1"/>
        <w:numPr>
          <w:ilvl w:val="0"/>
          <w:numId w:val="13"/>
        </w:numPr>
        <w:ind w:hanging="709" w:left="993"/>
      </w:pPr>
      <w:r>
        <w:t>Pitts N.B. “ICDAS” – an international system for caries detection and assessment being developed to facilitate caries epidemiology, research and appropriate clinical management // Community Dental Health. - 2004, V.21. - P. 193-198.</w:t>
      </w:r>
    </w:p>
    <w:p w14:paraId="D9020000">
      <w:pPr>
        <w:pStyle w:val="Style_6"/>
        <w:widowControl w:val="1"/>
        <w:numPr>
          <w:ilvl w:val="0"/>
          <w:numId w:val="13"/>
        </w:numPr>
        <w:ind w:hanging="709" w:left="993"/>
      </w:pPr>
      <w:r>
        <w:t xml:space="preserve">Braga M. M, Oliveira L. B, Bonini G. A., BoneckerM., Mendes F. M. Feasibility of the International caries Detection and Assessment System (ICDAS-II) in epidemiological surveys and comparability with standard World Health Organization criteria// Caries Research. - 2009. </w:t>
      </w:r>
      <w:r>
        <w:t xml:space="preserve">N.43. - P. 245—249. </w:t>
      </w:r>
    </w:p>
    <w:p w14:paraId="DA020000">
      <w:pPr>
        <w:pStyle w:val="Style_6"/>
        <w:widowControl w:val="1"/>
        <w:numPr>
          <w:ilvl w:val="0"/>
          <w:numId w:val="13"/>
        </w:numPr>
        <w:ind w:hanging="709" w:left="993"/>
      </w:pPr>
      <w:r>
        <w:t>Леус П.А.</w:t>
      </w:r>
      <w:r>
        <w:t xml:space="preserve"> Классификации кариеса зубов человека: от G.Black до ICDAS // Стоматологический журнал. - 2015. - Т.16, №1. - С.6-15. </w:t>
      </w:r>
    </w:p>
    <w:p w14:paraId="DB020000">
      <w:pPr>
        <w:pStyle w:val="Style_6"/>
        <w:widowControl w:val="1"/>
        <w:numPr>
          <w:ilvl w:val="0"/>
          <w:numId w:val="13"/>
        </w:numPr>
        <w:ind w:hanging="709" w:left="993"/>
      </w:pPr>
      <w:r>
        <w:t>Iranzo-Cortes J.E. et al. Caries diagnosis: agreement between WHO and ICDAS II criteria in epidemiological surveys // Community Dental Health/ - 2013 – V. 30 – P. 108-111.</w:t>
      </w:r>
    </w:p>
    <w:p w14:paraId="DC020000">
      <w:pPr>
        <w:pStyle w:val="Style_6"/>
        <w:widowControl w:val="1"/>
        <w:numPr>
          <w:ilvl w:val="0"/>
          <w:numId w:val="13"/>
        </w:numPr>
        <w:ind w:hanging="709" w:left="993"/>
      </w:pPr>
      <w:r>
        <w:t xml:space="preserve">Осокина А.С., Сопельняк Д.А., Цебекова А.Г., Боловина А.Д.  Сравнительная характеристика систем оценки и регистрации пораженности зубов кариесом// Журнал научных статей «Здоровье и Образование в  XXI веке». – 2018.- Т.20 -№ 6 – С. 48-52. </w:t>
      </w:r>
    </w:p>
    <w:p w14:paraId="DD020000">
      <w:pPr>
        <w:pStyle w:val="Style_6"/>
        <w:widowControl w:val="1"/>
        <w:numPr>
          <w:ilvl w:val="0"/>
          <w:numId w:val="13"/>
        </w:numPr>
        <w:ind w:hanging="709" w:left="993"/>
      </w:pPr>
      <w:r>
        <w:t xml:space="preserve">Кузьмина Э.М. Урзов С.А. К возможности применения метода ICDAS для оценки кариеса зубов у взрослых// Dental forum.- 2017.- №1- С.16-23. </w:t>
      </w:r>
    </w:p>
    <w:p w14:paraId="DE020000">
      <w:pPr>
        <w:pStyle w:val="Style_6"/>
        <w:widowControl w:val="1"/>
        <w:numPr>
          <w:ilvl w:val="0"/>
          <w:numId w:val="13"/>
        </w:numPr>
        <w:ind w:hanging="709" w:left="993"/>
      </w:pPr>
      <w:r>
        <w:t xml:space="preserve">Ekstrand , Gimenez T., Ferreira F. R., Mendes F.M. The international caries detection and assessment syatem- IDAS: a sistemetic rewiev//CARIES RESEARCH .- </w:t>
      </w:r>
      <w:r>
        <w:t>2018.- № 5 – С.406-419</w:t>
      </w:r>
    </w:p>
    <w:p w14:paraId="DF020000">
      <w:pPr>
        <w:pStyle w:val="Style_6"/>
        <w:widowControl w:val="1"/>
        <w:numPr>
          <w:ilvl w:val="0"/>
          <w:numId w:val="13"/>
        </w:numPr>
        <w:ind w:hanging="709" w:left="993"/>
      </w:pPr>
      <w:r>
        <w:t>Рединова Т.Л. Кариес зубов /Ижевск, 2009. – 95 с.</w:t>
      </w:r>
    </w:p>
    <w:p w14:paraId="E0020000">
      <w:pPr>
        <w:pStyle w:val="Style_6"/>
        <w:widowControl w:val="1"/>
        <w:numPr>
          <w:ilvl w:val="0"/>
          <w:numId w:val="13"/>
        </w:numPr>
        <w:ind w:hanging="709" w:left="993"/>
      </w:pPr>
      <w:r>
        <w:t xml:space="preserve">Saunders Review of Dental Hygiene – 2nd ed. / edited M.Fehrenbach and J.Weiner. – Saunders, 2008. – 640 p. </w:t>
      </w:r>
    </w:p>
    <w:p w14:paraId="E1020000">
      <w:pPr>
        <w:pStyle w:val="Style_6"/>
        <w:widowControl w:val="1"/>
        <w:numPr>
          <w:ilvl w:val="0"/>
          <w:numId w:val="13"/>
        </w:numPr>
        <w:ind w:hanging="709" w:left="993"/>
      </w:pPr>
      <w:r>
        <w:t xml:space="preserve">Ţălu S., Alb S., Parvu A.E., Dudea D., Lainović T., Gasparik C., Alb C. Factors influencing the choice of dental material and procedure for crown restoration of posterior teeth – design of a “decision guide”. </w:t>
      </w:r>
      <w:r>
        <w:t>Human and Veterinary Medicine, 2016; 8: 141-147.</w:t>
      </w:r>
    </w:p>
    <w:p w14:paraId="E2020000">
      <w:pPr>
        <w:pStyle w:val="Style_6"/>
        <w:widowControl w:val="1"/>
        <w:numPr>
          <w:ilvl w:val="0"/>
          <w:numId w:val="13"/>
        </w:numPr>
        <w:ind w:hanging="709" w:left="993"/>
      </w:pPr>
      <w:r>
        <w:t>Глухова Е.А., Морозова С.И., Юдина Ю.А., Фукс Е.И. Влияние гигиенического статуса пациентов, мотивированных на соблюдение индивидуальной гигиены рта, на развития вторичного кариеса зубов // Вестник новых медицинских технологий. – 2012. –№ 3. 77 с.</w:t>
      </w:r>
    </w:p>
    <w:p w14:paraId="E3020000">
      <w:pPr>
        <w:pStyle w:val="Style_6"/>
        <w:widowControl w:val="1"/>
        <w:numPr>
          <w:ilvl w:val="0"/>
          <w:numId w:val="13"/>
        </w:numPr>
        <w:ind w:hanging="709" w:left="993"/>
      </w:pPr>
      <w:r>
        <w:t>Позднякова А.А., Гилева О.С., Либик Т.В., Сатюкова Л.Я. Особенности клинической симптоматологии заболеваний слизистой оболочки полости рта и влияние ксеростомического симптома на стоматологические показатели качества жизни. Современные проблемы науки и образования, 2013; 2: 77.</w:t>
      </w:r>
    </w:p>
    <w:p w14:paraId="E4020000">
      <w:pPr>
        <w:pStyle w:val="Style_6"/>
        <w:widowControl w:val="1"/>
        <w:numPr>
          <w:ilvl w:val="0"/>
          <w:numId w:val="13"/>
        </w:numPr>
        <w:ind w:hanging="709" w:left="993"/>
      </w:pPr>
      <w:r>
        <w:t>Андреев Д.А., Профилактика неблагоприятных побочных реакций: врачебная тактика рационального выбора и применения лекарственных средств [Электронный ресурс] / Андреев Д.А., Архипов В.В., Бердникова Н.Г. и др. / Под ред. Н.В. Юргеля, В.Г.Кукеса. - М. : ГЭОТАР-Медиа, 2009. - 448 с. (Серия "Библиотека врача-специалиста")</w:t>
      </w:r>
    </w:p>
    <w:p w14:paraId="E5020000">
      <w:pPr>
        <w:pStyle w:val="Style_6"/>
        <w:widowControl w:val="1"/>
        <w:numPr>
          <w:ilvl w:val="0"/>
          <w:numId w:val="13"/>
        </w:numPr>
        <w:ind w:hanging="709" w:left="993"/>
      </w:pPr>
      <w:r>
        <w:t>Арьев А. Л. и др. Полиморбидность как отягощающий фактор стоматологических проблем у пациентов пожилого и старческого возраста. Клиническая геронтология. 2008; 14(7): 12-21.</w:t>
      </w:r>
    </w:p>
    <w:p w14:paraId="E6020000">
      <w:pPr>
        <w:pStyle w:val="Style_6"/>
        <w:widowControl w:val="1"/>
        <w:numPr>
          <w:ilvl w:val="0"/>
          <w:numId w:val="13"/>
        </w:numPr>
        <w:ind w:hanging="709" w:left="993"/>
      </w:pPr>
      <w:r>
        <w:t xml:space="preserve">Макарова Р. П., Друшлякова Е. В., Братчева И. В. Соматический статус пациентов и риск возникновения общих осложнений на стоматологическом приёме // Вестник Здоровье и образование в XXI веке. </w:t>
      </w:r>
      <w:r>
        <w:t xml:space="preserve">2007. №12. URL: </w:t>
      </w:r>
      <w:r>
        <w:rPr>
          <w:rStyle w:val="Style_26_ch"/>
        </w:rPr>
        <w:fldChar w:fldCharType="begin"/>
      </w:r>
      <w:r>
        <w:rPr>
          <w:rStyle w:val="Style_26_ch"/>
        </w:rPr>
        <w:instrText>HYPERLINK "https://cyberleninka.ru/article/n/somaticheskiy-status-patsientov-i-risk-vozniknoveniya-obschih-oslozhneniy-na-stomatologicheskom-priyome"</w:instrText>
      </w:r>
      <w:r>
        <w:rPr>
          <w:rStyle w:val="Style_26_ch"/>
        </w:rPr>
        <w:fldChar w:fldCharType="separate"/>
      </w:r>
      <w:r>
        <w:rPr>
          <w:rStyle w:val="Style_26_ch"/>
        </w:rPr>
        <w:t>https://cyberleninka.ru/article/n/somaticheskiy-status-patsientov-i-risk-vozniknoveniya-obschih-oslozhneniy-na-stomatologicheskom-priyome</w:t>
      </w:r>
      <w:r>
        <w:rPr>
          <w:rStyle w:val="Style_26_ch"/>
        </w:rPr>
        <w:fldChar w:fldCharType="end"/>
      </w:r>
    </w:p>
    <w:p w14:paraId="E7020000">
      <w:pPr>
        <w:pStyle w:val="Style_6"/>
        <w:widowControl w:val="1"/>
        <w:numPr>
          <w:ilvl w:val="0"/>
          <w:numId w:val="13"/>
        </w:numPr>
        <w:ind w:hanging="709" w:left="993"/>
      </w:pPr>
      <w:r>
        <w:t xml:space="preserve">Reuter, Nathan &amp; Westgate, Philip &amp; Ingram, Mark &amp; Miller, Craig. (2016). Death Related to Dental Treatment: A Systematic Review. Oral Surgery, Oral Medicine, Oral Pathology and Oral Radiology. </w:t>
      </w:r>
      <w:r>
        <w:t xml:space="preserve">Volume 123, Number 2. С 194-204 DOI: </w:t>
      </w:r>
      <w:r>
        <w:rPr>
          <w:rStyle w:val="Style_26_ch"/>
        </w:rPr>
        <w:fldChar w:fldCharType="begin"/>
      </w:r>
      <w:r>
        <w:rPr>
          <w:rStyle w:val="Style_26_ch"/>
        </w:rPr>
        <w:instrText>HYPERLINK "https://doi.org/10.1016/j.oooo.2016.10.015"</w:instrText>
      </w:r>
      <w:r>
        <w:rPr>
          <w:rStyle w:val="Style_26_ch"/>
        </w:rPr>
        <w:fldChar w:fldCharType="separate"/>
      </w:r>
      <w:r>
        <w:rPr>
          <w:rStyle w:val="Style_26_ch"/>
        </w:rPr>
        <w:t>https://doi.org/10.1016/j.oooo.2016.10.015</w:t>
      </w:r>
      <w:r>
        <w:rPr>
          <w:rStyle w:val="Style_26_ch"/>
        </w:rPr>
        <w:fldChar w:fldCharType="end"/>
      </w:r>
    </w:p>
    <w:p w14:paraId="E8020000">
      <w:pPr>
        <w:pStyle w:val="Style_6"/>
        <w:widowControl w:val="1"/>
        <w:numPr>
          <w:ilvl w:val="0"/>
          <w:numId w:val="13"/>
        </w:numPr>
        <w:ind w:hanging="709" w:left="993"/>
      </w:pPr>
      <w:r>
        <w:t>Гилева О.С., Либик Т.В., Позднякова А.А., Гибадуллина Н.В., Сюткина Е.С., Коротин С.В. Заболевания слизистой оболочки полости рта: методы диагностики и лечения. Dental Forum, 2019; 1 (72): 27-36.</w:t>
      </w:r>
    </w:p>
    <w:p w14:paraId="E9020000">
      <w:pPr>
        <w:pStyle w:val="Style_6"/>
        <w:widowControl w:val="1"/>
        <w:numPr>
          <w:ilvl w:val="0"/>
          <w:numId w:val="13"/>
        </w:numPr>
        <w:ind w:hanging="709" w:left="993"/>
      </w:pPr>
      <w:r>
        <w:t>Леус П.А. Индикаторы стоматологического здоровья, на что они указывают/ Современная стоматология, 2015.- №1 –С. 4 -7;</w:t>
      </w:r>
    </w:p>
    <w:p w14:paraId="EA020000">
      <w:pPr>
        <w:pStyle w:val="Style_6"/>
        <w:widowControl w:val="1"/>
        <w:numPr>
          <w:ilvl w:val="0"/>
          <w:numId w:val="13"/>
        </w:numPr>
        <w:ind w:hanging="709" w:left="993"/>
      </w:pPr>
      <w:r>
        <w:t>Модринская Ю.В. Методы прогнозирования кариеса зубов: уч. –метод. пособие/ Минск: БГМУ, 2006. 31 с.;</w:t>
      </w:r>
    </w:p>
    <w:p w14:paraId="EB020000">
      <w:pPr>
        <w:pStyle w:val="Style_6"/>
        <w:widowControl w:val="1"/>
        <w:numPr>
          <w:ilvl w:val="0"/>
          <w:numId w:val="13"/>
        </w:numPr>
        <w:ind w:hanging="709" w:left="993"/>
      </w:pPr>
      <w:r>
        <w:t>Модринская Ю.В. Оценка риска в</w:t>
      </w:r>
      <w:r>
        <w:t>оз</w:t>
      </w:r>
      <w:r>
        <w:t>никновения и прогнозирование кариеса зубов: уч. –метод. пособие/ Минск: БГМУ, 2013, 23 с.;</w:t>
      </w:r>
    </w:p>
    <w:p w14:paraId="EC020000">
      <w:pPr>
        <w:pStyle w:val="Style_6"/>
        <w:widowControl w:val="1"/>
        <w:numPr>
          <w:ilvl w:val="0"/>
          <w:numId w:val="13"/>
        </w:numPr>
        <w:ind w:hanging="709" w:left="993"/>
      </w:pPr>
      <w:r>
        <w:t xml:space="preserve">Latifi-Xhemajli B, Véronneau J, Begzati A, Bytyci A, Kutllovci T, Rexhepi A. Association between salivary level of infection with Streptococcus mutans/Lactobacilli and caries-risk factors in mothers. </w:t>
      </w:r>
      <w:r>
        <w:t>Eur J Paediatr Dent. 2016 Mar;17(1):70-4. PubMed PMID: 26949244;</w:t>
      </w:r>
    </w:p>
    <w:p w14:paraId="ED020000">
      <w:pPr>
        <w:pStyle w:val="Style_6"/>
        <w:widowControl w:val="1"/>
        <w:numPr>
          <w:ilvl w:val="0"/>
          <w:numId w:val="13"/>
        </w:numPr>
        <w:ind w:hanging="709" w:left="993"/>
      </w:pPr>
      <w:r>
        <w:t xml:space="preserve">Cannon M, Trent B, Vorachek A, Kramer S, Esterly R. Effectiveness of CRT at measuring the salivary level of bacteria in caries prone children with probiotic therapy. </w:t>
      </w:r>
      <w:r>
        <w:t>J Clin Pediatr Dent. 2013 Fall;38(1):55-60. PubMed PMID: 24579284;</w:t>
      </w:r>
    </w:p>
    <w:p w14:paraId="EE020000">
      <w:pPr>
        <w:pStyle w:val="Style_6"/>
        <w:widowControl w:val="1"/>
        <w:numPr>
          <w:ilvl w:val="0"/>
          <w:numId w:val="13"/>
        </w:numPr>
        <w:ind w:hanging="709" w:left="993"/>
      </w:pPr>
      <w:r>
        <w:t>Nakonieczna-Rudnicka M, Bachanek T. Number of Streptococcus mutans and  Lactobacillus in saliva versus the status of cigarette smoking, considering duration of smoking and number of cigarettes smoked daily. Ann Agric Environ Med. 2017 Sep 21;24(3):396-400. doi: 10.5604/12321966.1228952. Epub 2017 May 11. PubMed PMID: 28954478]</w:t>
      </w:r>
    </w:p>
    <w:p w14:paraId="EF020000">
      <w:pPr>
        <w:pStyle w:val="Style_6"/>
        <w:widowControl w:val="1"/>
        <w:numPr>
          <w:ilvl w:val="0"/>
          <w:numId w:val="13"/>
        </w:numPr>
        <w:ind w:hanging="709" w:left="993"/>
      </w:pPr>
      <w:r>
        <w:t xml:space="preserve">Klichowska-Palonka M, Kiernicka M, Bachanek T. The activity of dental caries in students of the Faculty of Stomatology examined by using microbiological and biochemical tests--Dentocult LB. </w:t>
      </w:r>
      <w:r>
        <w:t>Ann Univ Mariae Curie Sklodowska Med. 2002;57(2):392-8. PubMed PMID: 12898868</w:t>
      </w:r>
    </w:p>
    <w:p w14:paraId="F0020000">
      <w:pPr>
        <w:pStyle w:val="Style_6"/>
        <w:widowControl w:val="1"/>
        <w:numPr>
          <w:ilvl w:val="0"/>
          <w:numId w:val="13"/>
        </w:numPr>
        <w:ind w:hanging="709" w:left="993"/>
      </w:pPr>
      <w:r>
        <w:t>Li Y, Saraithong P, Chen Z, Leung E, Pattanaporn K, Dasanayake A. Comparison of Real-Time Quantitative PCR with a Chairside Test for Streptococcus Mutans Assessment. Chin J Dent Res. 2017;20(4):199-210. doi: 10.3290/j.cjdr.a39219. PubMed PMID: 29181457.</w:t>
      </w:r>
    </w:p>
    <w:p w14:paraId="F1020000">
      <w:pPr>
        <w:pStyle w:val="Style_6"/>
        <w:widowControl w:val="1"/>
        <w:numPr>
          <w:ilvl w:val="0"/>
          <w:numId w:val="13"/>
        </w:numPr>
        <w:ind w:hanging="709" w:left="993"/>
      </w:pPr>
      <w:r>
        <w:t xml:space="preserve">Twetman L, Twetman S. Comparison of two chair-side tests for enumeration of Mutans Streptococci in saliva. </w:t>
      </w:r>
      <w:r>
        <w:t>Oral Health Dent Manag. 2014 Sep;13(3):580-3. PubMed PMID: 25284515.</w:t>
      </w:r>
    </w:p>
    <w:p w14:paraId="F2020000">
      <w:pPr>
        <w:pStyle w:val="Style_6"/>
        <w:widowControl w:val="1"/>
        <w:numPr>
          <w:ilvl w:val="0"/>
          <w:numId w:val="13"/>
        </w:numPr>
        <w:ind w:hanging="709" w:left="993"/>
      </w:pPr>
      <w:r>
        <w:t xml:space="preserve">Strickland M, Duda P, Merdad HE, Pelaez-Shelton RE, Rosivack RG, Markowitz K. The clinical performance of chairside caries risk assessment kits. </w:t>
      </w:r>
      <w:r>
        <w:t>Quintessence Int. 2017;48(2):161-171. doi: 10.3290/j.qi.a37152. PubMed PMID: 27834421.</w:t>
      </w:r>
    </w:p>
    <w:p w14:paraId="F3020000">
      <w:pPr>
        <w:pStyle w:val="Style_6"/>
        <w:widowControl w:val="1"/>
        <w:numPr>
          <w:ilvl w:val="0"/>
          <w:numId w:val="13"/>
        </w:numPr>
        <w:ind w:hanging="709" w:left="993"/>
      </w:pPr>
      <w:r>
        <w:t>Cunha-Cruz J, Scott J, Rothen M, Mancl L, Lawhorn T, Brossel K, Berg J; Northwest Practice-based REsearch Collaborative in Evidence-based DENTistry. Salivary characteristics and dental caries: evidence from general dental practices. J Am Dent Assoc. 2013 May;144(5):e31-40. doi: 10.14219/jada.archive.2013.0159. PMID: 23633704; PMCID: PMC3874545.</w:t>
      </w:r>
    </w:p>
    <w:p w14:paraId="F4020000">
      <w:pPr>
        <w:pStyle w:val="Style_6"/>
        <w:widowControl w:val="1"/>
        <w:numPr>
          <w:ilvl w:val="0"/>
          <w:numId w:val="13"/>
        </w:numPr>
        <w:ind w:hanging="709" w:left="993"/>
      </w:pPr>
      <w:r>
        <w:t xml:space="preserve">Mejàre IA, Axelsson S, Davidson T, Frisk F, Hakeberg M, Kvist T, Norlund A, Petersson A, Portenier I, Sandberg H, Tranaeus S, Bergenholtz G. Diagnosis of the condition of the dental pulp: a systematic review. Int Endod J. 2012 Jul;45(7):597-613. doi: 10.1111/j.1365-2591.2012.02016.x. Epub 2012 Feb 13. Review. </w:t>
      </w:r>
      <w:r>
        <w:t>PubMed PMID: 22329525.</w:t>
      </w:r>
    </w:p>
    <w:p w14:paraId="F5020000">
      <w:pPr>
        <w:pStyle w:val="Style_6"/>
        <w:widowControl w:val="1"/>
        <w:numPr>
          <w:ilvl w:val="0"/>
          <w:numId w:val="13"/>
        </w:numPr>
        <w:ind w:hanging="709" w:left="993"/>
      </w:pPr>
      <w:r>
        <w:t xml:space="preserve">Gopikrishna V., Pradeep G., Venkateshbabu N. Assessment of pulp vitality: a review //International journal of paediatric dentistry. – 2009. – </w:t>
      </w:r>
      <w:r>
        <w:t>Т</w:t>
      </w:r>
      <w:r>
        <w:t xml:space="preserve">. 19. – №. </w:t>
      </w:r>
      <w:r>
        <w:t xml:space="preserve">1. – С. 3-15. </w:t>
      </w:r>
    </w:p>
    <w:p w14:paraId="F6020000">
      <w:pPr>
        <w:pStyle w:val="Style_6"/>
        <w:widowControl w:val="1"/>
        <w:numPr>
          <w:ilvl w:val="0"/>
          <w:numId w:val="13"/>
        </w:numPr>
        <w:ind w:hanging="709" w:left="993"/>
      </w:pPr>
      <w:r>
        <w:t xml:space="preserve">Mainkar A., Kim S. G. Diagnostic accuracy of 5 dental pulp tests: a systematic review and meta-analysis //Journal of endodontics. – 2018. – </w:t>
      </w:r>
      <w:r>
        <w:t>Т</w:t>
      </w:r>
      <w:r>
        <w:t xml:space="preserve">. 44. – №. </w:t>
      </w:r>
      <w:r>
        <w:t>5. – С. 694-702. PMID:29571914 DOI:10.1016/j.joen.2018.01.021</w:t>
      </w:r>
    </w:p>
    <w:p w14:paraId="F7020000">
      <w:pPr>
        <w:pStyle w:val="Style_6"/>
        <w:widowControl w:val="1"/>
        <w:numPr>
          <w:ilvl w:val="0"/>
          <w:numId w:val="13"/>
        </w:numPr>
        <w:ind w:hanging="709" w:left="993"/>
      </w:pPr>
      <w:r>
        <w:t>Макеева И. М. и др. Эффективность электроодонтодиагностики с помощью различных видов тока //Стоматология. – 2018. – Т. 97. – №. 6. – С. 34-37</w:t>
      </w:r>
    </w:p>
    <w:p w14:paraId="F8020000">
      <w:pPr>
        <w:pStyle w:val="Style_6"/>
        <w:widowControl w:val="1"/>
        <w:numPr>
          <w:ilvl w:val="0"/>
          <w:numId w:val="13"/>
        </w:numPr>
        <w:ind w:hanging="709" w:left="993"/>
      </w:pPr>
      <w:r>
        <w:t>Федотова Ю. М. и др. Сравнительная оценка материалов, используемых для консервативного лечения начальных форм пульпита и глубокого кариеса //Крымский терапевтический журнал. – 2017. – №. 1. – С. 52-55.</w:t>
      </w:r>
    </w:p>
    <w:p w14:paraId="F9020000">
      <w:pPr>
        <w:pStyle w:val="Style_6"/>
        <w:widowControl w:val="1"/>
        <w:numPr>
          <w:ilvl w:val="0"/>
          <w:numId w:val="13"/>
        </w:numPr>
        <w:ind w:hanging="709" w:left="993"/>
      </w:pPr>
      <w:r>
        <w:t xml:space="preserve">CDA Position on Control of X-Radiation in Dentistry. </w:t>
      </w:r>
      <w:r>
        <w:t xml:space="preserve">Электронный доступ: </w:t>
      </w:r>
      <w:r>
        <w:rPr>
          <w:rStyle w:val="Style_26_ch"/>
        </w:rPr>
        <w:fldChar w:fldCharType="begin"/>
      </w:r>
      <w:r>
        <w:rPr>
          <w:rStyle w:val="Style_26_ch"/>
        </w:rPr>
        <w:instrText>HYPERLINK "https://www.cda-adc.ca/_files/position_statements/xradiation.pdf"</w:instrText>
      </w:r>
      <w:r>
        <w:rPr>
          <w:rStyle w:val="Style_26_ch"/>
        </w:rPr>
        <w:fldChar w:fldCharType="separate"/>
      </w:r>
      <w:r>
        <w:rPr>
          <w:rStyle w:val="Style_26_ch"/>
        </w:rPr>
        <w:t>https://www.cda-adc.ca/_files/position_statements/xradiation.pdf</w:t>
      </w:r>
      <w:r>
        <w:rPr>
          <w:rStyle w:val="Style_26_ch"/>
        </w:rPr>
        <w:fldChar w:fldCharType="end"/>
      </w:r>
    </w:p>
    <w:p w14:paraId="FA020000">
      <w:pPr>
        <w:pStyle w:val="Style_6"/>
        <w:widowControl w:val="1"/>
        <w:numPr>
          <w:ilvl w:val="0"/>
          <w:numId w:val="13"/>
        </w:numPr>
        <w:ind w:hanging="709" w:left="993"/>
      </w:pPr>
      <w:r>
        <w:t>Терезхальми Г.Г., Хубер М.А., Джонс Э.К. Физикальное исследование в стоматологической практике/ пер. с англ. под ред. Ореховой Л.Ю. –М.: Издательство Панфилова: БИНОМ. Лаборатория знаний, 2013. –с249</w:t>
      </w:r>
    </w:p>
    <w:p w14:paraId="FB020000">
      <w:pPr>
        <w:pStyle w:val="Style_6"/>
        <w:widowControl w:val="1"/>
        <w:numPr>
          <w:ilvl w:val="0"/>
          <w:numId w:val="13"/>
        </w:numPr>
        <w:ind w:hanging="709" w:left="993"/>
      </w:pPr>
      <w:r>
        <w:t>Кузьмина Э.М, Васина С.А., Урзов С.А. Диагностические критерии начальных форм кариеса зубов/ DENTALFORUM. №1 [56]2015. С 35 -41</w:t>
      </w:r>
    </w:p>
    <w:p w14:paraId="FC020000">
      <w:pPr>
        <w:pStyle w:val="Style_6"/>
        <w:widowControl w:val="1"/>
        <w:numPr>
          <w:ilvl w:val="0"/>
          <w:numId w:val="13"/>
        </w:numPr>
        <w:ind w:hanging="709" w:left="993"/>
      </w:pPr>
      <w:r>
        <w:t xml:space="preserve">Sokolova II, German SI, Tomilina TV, Slynko YO, Potapchuk AM, Skydan KV, Udovychenko NM. Possibilities of modern x-ray examination methods for diagnostics of hidden dental caries of approximal localization. </w:t>
      </w:r>
      <w:r>
        <w:t>Wiad Lek. 2019;72(7):1258-1264. PubMed PMID: 31398152.</w:t>
      </w:r>
    </w:p>
    <w:p w14:paraId="FD020000">
      <w:pPr>
        <w:pStyle w:val="Style_6"/>
        <w:widowControl w:val="1"/>
        <w:numPr>
          <w:ilvl w:val="0"/>
          <w:numId w:val="13"/>
        </w:numPr>
        <w:ind w:hanging="709" w:left="993"/>
      </w:pPr>
      <w:r>
        <w:t xml:space="preserve">Veena DK, Jatti A, Joshi R, Deepu KS. Characterization of dental pathologies using digital panoramic X-ray images based on texture analysis. Conf Proc IEEE Eng Med Biol Soc. 2017 Jul;2017:592-595. doi: 10.1109/EMBC.2017.8036894. </w:t>
      </w:r>
      <w:r>
        <w:t>PubMed PMID: 29059942.</w:t>
      </w:r>
    </w:p>
    <w:p w14:paraId="FE020000">
      <w:pPr>
        <w:pStyle w:val="Style_6"/>
        <w:widowControl w:val="1"/>
        <w:numPr>
          <w:ilvl w:val="0"/>
          <w:numId w:val="13"/>
        </w:numPr>
        <w:ind w:hanging="709" w:left="993"/>
      </w:pPr>
      <w:r>
        <w:t>Abogazalah N, Ando M. Alternative methods to visual and radiographic examinations for approximal caries detection. J Oral Sci. 2017 Sep 14;59(3):315-322. doi: 10.2334/josnusd.16-0595. Epub 2017 May 19. Review. PubMed PMID: 28529280</w:t>
      </w:r>
    </w:p>
    <w:p w14:paraId="FF020000">
      <w:pPr>
        <w:pStyle w:val="Style_6"/>
        <w:widowControl w:val="1"/>
        <w:numPr>
          <w:ilvl w:val="0"/>
          <w:numId w:val="13"/>
        </w:numPr>
        <w:ind w:hanging="709" w:left="993"/>
      </w:pPr>
      <w:r>
        <w:t xml:space="preserve">Tassoker M. et al. Occlusal caries detection and diagnosis using visual ICDAS criteria, Laser Fluorescence Measurements and Near – in frared Light Transillum. images/ Med. </w:t>
      </w:r>
      <w:r>
        <w:t>Princ. Pract. 2019</w:t>
      </w:r>
    </w:p>
    <w:p w14:paraId="00030000">
      <w:pPr>
        <w:pStyle w:val="Style_6"/>
        <w:widowControl w:val="1"/>
        <w:numPr>
          <w:ilvl w:val="0"/>
          <w:numId w:val="13"/>
        </w:numPr>
        <w:ind w:hanging="709" w:left="993"/>
      </w:pPr>
      <w:r>
        <w:t>Casalegno F et al. Caries Detection with Near-Infrared Transillumination Using        Deep Learing/ J. Dent. Res. 2014.)</w:t>
      </w:r>
    </w:p>
    <w:p w14:paraId="01030000">
      <w:pPr>
        <w:pStyle w:val="Style_6"/>
        <w:widowControl w:val="1"/>
        <w:numPr>
          <w:ilvl w:val="0"/>
          <w:numId w:val="13"/>
        </w:numPr>
        <w:ind w:hanging="709" w:left="993"/>
      </w:pPr>
      <w:r>
        <w:t>Lara Capi C. Digital transillumination in caries detection versus radiographic  and clinical methods: an in vivo stady// et al Dentomaxillofac Radiol, 2017</w:t>
      </w:r>
    </w:p>
    <w:p w14:paraId="02030000">
      <w:pPr>
        <w:pStyle w:val="Style_6"/>
        <w:widowControl w:val="1"/>
        <w:numPr>
          <w:ilvl w:val="0"/>
          <w:numId w:val="13"/>
        </w:numPr>
        <w:ind w:hanging="709" w:left="993"/>
      </w:pPr>
      <w:r>
        <w:t>Александров М.Т.,Маргарян Э.Г. Применение лазерных технологий в клинике терапевтической стоматологии (обоснование, возможности, перспективы/ Российская стоматология, 2017, т.10, №3, с 31 -36</w:t>
      </w:r>
    </w:p>
    <w:p w14:paraId="03030000">
      <w:pPr>
        <w:pStyle w:val="Style_6"/>
        <w:widowControl w:val="1"/>
        <w:numPr>
          <w:ilvl w:val="0"/>
          <w:numId w:val="13"/>
        </w:numPr>
        <w:ind w:hanging="709" w:left="993"/>
      </w:pPr>
      <w:r>
        <w:t>Brouwer F, Askar H, Paris S, Schwendicke F. Detecting Secondary Caries Lesions: A Systematic Review and Meta-analysis. J Dent Res. 2016 Feb;95(2):143-51. doi: 10.1177/0022034515611041. Epub 2015 Oct 13. Review. PubMed PMID: 26464398</w:t>
      </w:r>
    </w:p>
    <w:p w14:paraId="04030000">
      <w:pPr>
        <w:pStyle w:val="Style_6"/>
        <w:widowControl w:val="1"/>
        <w:numPr>
          <w:ilvl w:val="0"/>
          <w:numId w:val="13"/>
        </w:numPr>
        <w:ind w:hanging="709" w:left="993"/>
      </w:pPr>
      <w:r>
        <w:t>Gimenez T, Braga MM, Raggio DP, Deery C, Ricketts DN, Mendes FM. Fluorescence-based methods for detecting caries lesions: systematic review, meta-analysis and sources of heterogeneity. PLoS One. 2013 Apr 4;8(4):e60421. doi: 10.1371/journal.pone.0060421. Print 2013. Review. PubMed PMID: 23593215; PubMed Central PMCID: PMC3617206</w:t>
      </w:r>
    </w:p>
    <w:p w14:paraId="05030000">
      <w:pPr>
        <w:pStyle w:val="Style_6"/>
        <w:widowControl w:val="1"/>
        <w:numPr>
          <w:ilvl w:val="0"/>
          <w:numId w:val="13"/>
        </w:numPr>
        <w:ind w:hanging="709" w:left="993"/>
      </w:pPr>
      <w:r>
        <w:t xml:space="preserve">Scheerman JFM, van Meijel B, van Empelen P, Kramer GJC, Verrips GHW, Pakpour AH, Van den Braak MCT, van Loveren C. Study protocol of a randomized controlled trial to test the effect of a smartphone application on oral-health behavior and oral hygiene in adolescents with fixed orthodontic appliances. BMC Oral Health. 2018 Feb </w:t>
      </w:r>
      <w:r>
        <w:t>7;18(1):19. doi: 10.1186/s12903-018-0475-9. PubMed PMID: 29415697; PubMed Central PMCID: PMC5803887.</w:t>
      </w:r>
    </w:p>
    <w:p w14:paraId="06030000">
      <w:pPr>
        <w:pStyle w:val="Style_6"/>
        <w:widowControl w:val="1"/>
        <w:numPr>
          <w:ilvl w:val="0"/>
          <w:numId w:val="13"/>
        </w:numPr>
        <w:ind w:hanging="709" w:left="993"/>
      </w:pPr>
      <w:r>
        <w:t>Микляева Т.А. Определение ИРОПЗ с помощью компьютерных технологий. Бюллетень медицинских интернет-конференций. 2014. Т. 4. № 5. С. 751.</w:t>
      </w:r>
    </w:p>
    <w:p w14:paraId="07030000">
      <w:pPr>
        <w:pStyle w:val="Style_6"/>
        <w:widowControl w:val="1"/>
        <w:numPr>
          <w:ilvl w:val="0"/>
          <w:numId w:val="13"/>
        </w:numPr>
        <w:ind w:hanging="709" w:left="993"/>
      </w:pPr>
      <w:r>
        <w:t>Кубаренко В.В. Результаты исследования затрат времени врача-стоматолога при определении индекса разрушения окклюзионной поверхности зубов различными методами. Український стоматологічний альманах. 2014. № 3. С. 41-45.</w:t>
      </w:r>
    </w:p>
    <w:p w14:paraId="08030000">
      <w:pPr>
        <w:pStyle w:val="Style_6"/>
        <w:widowControl w:val="1"/>
        <w:numPr>
          <w:ilvl w:val="0"/>
          <w:numId w:val="13"/>
        </w:numPr>
        <w:ind w:hanging="709" w:left="993"/>
      </w:pPr>
      <w:r>
        <w:t>Фирсова И.В., Македонова Ю.А., Камалетдинова Р.С., Кобелев Е.В. Модернизация способа определения индекса разрушения зуба. Международный журнал прикладных и фундаментальных исследований. 2015. № 3-4. С. 700-704.</w:t>
      </w:r>
    </w:p>
    <w:p w14:paraId="09030000">
      <w:pPr>
        <w:pStyle w:val="Style_6"/>
        <w:widowControl w:val="1"/>
        <w:numPr>
          <w:ilvl w:val="0"/>
          <w:numId w:val="13"/>
        </w:numPr>
        <w:ind w:hanging="709" w:left="993"/>
      </w:pPr>
      <w:r>
        <w:t xml:space="preserve">Gopikrishna V., Pradeep G., Venkateshbabu N. Assessment of pulp vitality: a review //International journal of paediatric dentistry. – 2009. – </w:t>
      </w:r>
      <w:r>
        <w:t>Т</w:t>
      </w:r>
      <w:r>
        <w:t xml:space="preserve">. 19. – №. </w:t>
      </w:r>
      <w:r>
        <w:t>1. – С. 3-15</w:t>
      </w:r>
    </w:p>
    <w:p w14:paraId="0A030000">
      <w:pPr>
        <w:pStyle w:val="Style_6"/>
        <w:widowControl w:val="1"/>
        <w:numPr>
          <w:ilvl w:val="0"/>
          <w:numId w:val="13"/>
        </w:numPr>
        <w:ind w:hanging="709" w:left="993"/>
      </w:pPr>
      <w:r>
        <w:t xml:space="preserve">Mainkar A., Kim S. G. Diagnostic accuracy of 5 dental pulp tests: a systematic review and meta-analysis //Journal of endodontics. – 2018. – </w:t>
      </w:r>
      <w:r>
        <w:t>Т</w:t>
      </w:r>
      <w:r>
        <w:t xml:space="preserve">. 44. – №. </w:t>
      </w:r>
      <w:r>
        <w:t>5. – С. 694-702. PMID:29571914 DOI:10.1016/j.joen.2018.01.021</w:t>
      </w:r>
    </w:p>
    <w:p w14:paraId="0B030000">
      <w:pPr>
        <w:pStyle w:val="Style_6"/>
        <w:widowControl w:val="1"/>
        <w:numPr>
          <w:ilvl w:val="0"/>
          <w:numId w:val="13"/>
        </w:numPr>
        <w:ind w:hanging="709" w:left="993"/>
      </w:pPr>
      <w:r>
        <w:t xml:space="preserve">Montero J, Costa J, Bica I, Barrios R. Caries and quality of life in portuguese adolescents: Impact of diet and behavioural risk factors. J Clin Exp Dent. 2018 Mar 1;10(3):e218-e223. doi: 10.4317/jced.54469. eCollection 2018 Mar.  </w:t>
      </w:r>
      <w:r>
        <w:t>PubMed PMID: 29721221; PubMed Central PMCID: PMC5923895.</w:t>
      </w:r>
    </w:p>
    <w:p w14:paraId="0C030000">
      <w:pPr>
        <w:pStyle w:val="Style_6"/>
        <w:widowControl w:val="1"/>
        <w:numPr>
          <w:ilvl w:val="0"/>
          <w:numId w:val="13"/>
        </w:numPr>
        <w:ind w:hanging="709" w:left="993"/>
      </w:pPr>
      <w:r>
        <w:t>Chaffee BW, Rodrigues PH, Kramer PF, Vítolo MR, Feldens CA. Oral health-related quality-of-life scores differ by socioeconomic status and caries experience. Community Dent Oral Epidemiol. 2017 Jun;45(3):216-224. doi: 10.1111/cdoe.12279. Epub 2017 Jan 12. PubMed PMID: 28083880; PubMed Central PMCID: PMC5506781.</w:t>
      </w:r>
    </w:p>
    <w:p w14:paraId="0D030000">
      <w:pPr>
        <w:pStyle w:val="Style_6"/>
        <w:widowControl w:val="1"/>
        <w:numPr>
          <w:ilvl w:val="0"/>
          <w:numId w:val="13"/>
        </w:numPr>
        <w:ind w:hanging="709" w:left="993"/>
      </w:pPr>
      <w:r>
        <w:t xml:space="preserve">Passos-Soares JS, Santos LPS, Cruz SSD, Trindade SC, Cerqueira EMM, Santos KOB, Balinha IDSCE, Silva ICOD, Freitas TOB, Miranda SS, Seymour GJ, Gomes-Filho  IS. The impact of caries in combination with periodontitis on oral health-related quality of life in Bahia, Brazil. </w:t>
      </w:r>
      <w:r>
        <w:t>J Periodontol. 2018 Dec;89(12):1407-1417. doi:  10.1002/JPER.18-0047. Epub 2018 Aug 23. PubMed PMID: 30030846.</w:t>
      </w:r>
    </w:p>
    <w:p w14:paraId="0E030000">
      <w:pPr>
        <w:pStyle w:val="Style_6"/>
        <w:widowControl w:val="1"/>
        <w:numPr>
          <w:ilvl w:val="0"/>
          <w:numId w:val="13"/>
        </w:numPr>
        <w:ind w:hanging="709" w:left="993"/>
      </w:pPr>
      <w:r>
        <w:t>Yeh DY, Kuo HC, Yang YH, Ho PS. The Responsiveness of Patients' Quality of Life to Dental Caries Treatment-A Prospective Study. PLoS One. 2016 Oct 24;11(10):e0164707. doi: 10.1371/journal.pone.0164707. eCollection 2016. PubMed PMID: 27776148; PubMed Central PMCID: PMC5077135.</w:t>
      </w:r>
    </w:p>
    <w:p w14:paraId="0F030000">
      <w:pPr>
        <w:pStyle w:val="Style_6"/>
        <w:widowControl w:val="1"/>
        <w:numPr>
          <w:ilvl w:val="0"/>
          <w:numId w:val="13"/>
        </w:numPr>
        <w:ind w:hanging="709" w:left="993"/>
      </w:pPr>
      <w:r>
        <w:t xml:space="preserve">Corah NL. Development of a dental anxiety scale. J Dent Res. 1969 Jul-Aug;48(4):596. </w:t>
      </w:r>
      <w:r>
        <w:t>PubMed PMID: 5256508.</w:t>
      </w:r>
    </w:p>
    <w:p w14:paraId="10030000">
      <w:pPr>
        <w:pStyle w:val="Style_6"/>
        <w:widowControl w:val="1"/>
        <w:numPr>
          <w:ilvl w:val="0"/>
          <w:numId w:val="13"/>
        </w:numPr>
        <w:ind w:hanging="709" w:left="993"/>
      </w:pPr>
      <w:r>
        <w:t xml:space="preserve">Corah NL, Gale EN, Illig SJ. Assessment of a dental anxiety scale. </w:t>
      </w:r>
      <w:r>
        <w:t>J Am Dent Assoc. 1978 Nov;97(5):816-9. PubMed PMID: 31377.</w:t>
      </w:r>
    </w:p>
    <w:p w14:paraId="11030000">
      <w:pPr>
        <w:pStyle w:val="Style_6"/>
        <w:widowControl w:val="1"/>
        <w:numPr>
          <w:ilvl w:val="0"/>
          <w:numId w:val="13"/>
        </w:numPr>
        <w:ind w:hanging="709" w:left="993"/>
      </w:pPr>
      <w:r>
        <w:t>Jain M, Tandon S, Sharma A, Jain V, Rani Yadav N. Cross-Cultural adaption, validity and reliability of a Hindi version of the Corah's Dental Anxiety Scale.  Health Promot Perspect. 2018 Apr 18;8(2):120-126. doi: 10.15171/hpp.2018.15. eCollection 2018. PubMed PMID: 29744307; PubMed Central PMCID: PMC5935815.</w:t>
      </w:r>
    </w:p>
    <w:p w14:paraId="12030000">
      <w:pPr>
        <w:pStyle w:val="Style_6"/>
        <w:widowControl w:val="1"/>
        <w:numPr>
          <w:ilvl w:val="0"/>
          <w:numId w:val="13"/>
        </w:numPr>
        <w:ind w:hanging="709" w:left="993"/>
      </w:pPr>
      <w:r>
        <w:t>Dobros K, Hajto-Bryk J, Wnek A, Zarzecka J, Rzepka D. The level of dental anxiety and dental status in adult patients. J Int Oral Health. 2014 Jun;6(3):11-4. Epub 2014 Jun 26. PubMed PMID: 25083026; PubMed Central PMCID: PMC4109258.</w:t>
      </w:r>
    </w:p>
    <w:p w14:paraId="13030000">
      <w:pPr>
        <w:pStyle w:val="Style_6"/>
        <w:widowControl w:val="1"/>
        <w:numPr>
          <w:ilvl w:val="0"/>
          <w:numId w:val="13"/>
        </w:numPr>
        <w:ind w:hanging="709" w:left="993"/>
      </w:pPr>
      <w:r>
        <w:t xml:space="preserve">Hu LW, Gorenstein C, Fuentes D. Portuguese version of Corah's Dental Anxiety Scale: transcultural adaptation and reliability analysis. </w:t>
      </w:r>
      <w:r>
        <w:t>Depress Anxiety. 2007;24(7):467-71. PubMed PMID: 17096400.</w:t>
      </w:r>
    </w:p>
    <w:p w14:paraId="14030000">
      <w:pPr>
        <w:pStyle w:val="Style_6"/>
        <w:widowControl w:val="1"/>
        <w:numPr>
          <w:ilvl w:val="0"/>
          <w:numId w:val="13"/>
        </w:numPr>
        <w:ind w:hanging="709" w:left="993"/>
      </w:pPr>
      <w:r>
        <w:t>Holmgren C, Gaucher C, Decerle N, Doméjean S. Minimal intervention dentistry II: part 3. Management of non-cavitated (initial) occlusal caries lesions--non-invasive approaches through remineralisation and therapeutic sealants. Br Dent J. 2014 Mar;216(5):237-43. doi: 10.1038/sj.bdj.2014.147. Review. PubMed PMID: 24603245</w:t>
      </w:r>
    </w:p>
    <w:p w14:paraId="15030000">
      <w:pPr>
        <w:pStyle w:val="Style_6"/>
        <w:widowControl w:val="1"/>
        <w:numPr>
          <w:ilvl w:val="0"/>
          <w:numId w:val="13"/>
        </w:numPr>
        <w:ind w:hanging="709" w:left="993"/>
      </w:pPr>
      <w:r>
        <w:t>Sonesson M, Bergstrand F, Gizani S, Twetman S. Management of post-orthodontic white spot lesions: an updated systematic review. Eur J Orthod. 2017 Apr 1;39(2):116-121. doi: 10.1093/ejo/cjw023. Review. PubMed PMID: 27030284</w:t>
      </w:r>
    </w:p>
    <w:p w14:paraId="16030000">
      <w:pPr>
        <w:pStyle w:val="Style_6"/>
        <w:widowControl w:val="1"/>
        <w:numPr>
          <w:ilvl w:val="0"/>
          <w:numId w:val="13"/>
        </w:numPr>
        <w:ind w:hanging="709" w:left="993"/>
      </w:pPr>
      <w:r>
        <w:t xml:space="preserve">Deb S, Chana S. Biomaterials in Relation to Dentistry. Front Oral Biol. 2015;17:1-12. doi: 10.1159/000381686. Epub 2015 Jul 20. </w:t>
      </w:r>
      <w:r>
        <w:t>Review. PubMed PMID:26201271</w:t>
      </w:r>
    </w:p>
    <w:p w14:paraId="17030000">
      <w:pPr>
        <w:pStyle w:val="Style_6"/>
        <w:widowControl w:val="1"/>
        <w:numPr>
          <w:ilvl w:val="0"/>
          <w:numId w:val="13"/>
        </w:numPr>
        <w:ind w:hanging="709" w:left="993"/>
      </w:pPr>
      <w:r>
        <w:t xml:space="preserve">Wong A, Subar PE, Young DA. Dental Caries: An Update on Dental Trends and Therapy. </w:t>
      </w:r>
      <w:r>
        <w:t>Adv Pediatr. 2017 Aug;64(1):307-330. doi: 10.1016/j.yapd.2017.03.011. Review. PubMed PMID: 28688595</w:t>
      </w:r>
    </w:p>
    <w:p w14:paraId="18030000">
      <w:pPr>
        <w:pStyle w:val="Style_6"/>
        <w:widowControl w:val="1"/>
        <w:numPr>
          <w:ilvl w:val="0"/>
          <w:numId w:val="13"/>
        </w:numPr>
        <w:ind w:hanging="709" w:left="993"/>
      </w:pPr>
      <w:r>
        <w:t>Гилева О.С., Муравьева М.А., Сюткина Е.С., Левицкая А.Д. Постортодонтическая деминерализация эмали: клинические особенности и эффективность лечения. Маэстро стоматологии. 2015. № 4. С. 38.</w:t>
      </w:r>
    </w:p>
    <w:p w14:paraId="19030000">
      <w:pPr>
        <w:pStyle w:val="Style_6"/>
        <w:widowControl w:val="1"/>
        <w:numPr>
          <w:ilvl w:val="0"/>
          <w:numId w:val="13"/>
        </w:numPr>
        <w:ind w:hanging="709" w:left="993"/>
      </w:pPr>
      <w:r>
        <w:t>Муравьева М.А., Сюткина Е.С., Рединова Т.Л., Гилева О.С. Анализ микроструктуры очага искусственной постортодонтической деминерализации эмали. Стоматология. 2018. Т. 97. № 6-2. С. 12.</w:t>
      </w:r>
    </w:p>
    <w:p w14:paraId="1A030000">
      <w:pPr>
        <w:pStyle w:val="Style_6"/>
        <w:widowControl w:val="1"/>
        <w:numPr>
          <w:ilvl w:val="0"/>
          <w:numId w:val="13"/>
        </w:numPr>
        <w:ind w:hanging="709" w:left="993"/>
      </w:pPr>
      <w:r>
        <w:t>Latti BR, Kalburge JV, Birajdar SB, Latti RG. Evaluation of relationship between dental caries, diabetes mellitus and oral microbiota in diabetics. J Oral Maxillofac Pathol. 2018 May-Aug;22(2):282. doi: 10.4103/jomfp.JOMFP_163_16. PubMed PMID: 30158791; PubMed Central PMCID: PMC6097371.;</w:t>
      </w:r>
    </w:p>
    <w:p w14:paraId="1B030000">
      <w:pPr>
        <w:pStyle w:val="Style_6"/>
        <w:widowControl w:val="1"/>
        <w:numPr>
          <w:ilvl w:val="0"/>
          <w:numId w:val="13"/>
        </w:numPr>
        <w:ind w:hanging="709" w:left="993"/>
      </w:pPr>
      <w:r>
        <w:t>de Araújo Nobre M, Maló P. Prevalence of periodontitis, dental caries, and peri-implant pathology and their relation with systemic status and smoking habits: Results of an open-cohort study with 22009 patients in a private rehabilitation center. J Dent. 2017 Dec;67:36-42. doi: 10.1016/j.jdent.2017.07.013. Epub 2017 Jul 25. PubMed PMID: 28750777.</w:t>
      </w:r>
    </w:p>
    <w:p w14:paraId="1C030000">
      <w:pPr>
        <w:pStyle w:val="Style_6"/>
        <w:widowControl w:val="1"/>
        <w:numPr>
          <w:ilvl w:val="0"/>
          <w:numId w:val="13"/>
        </w:numPr>
        <w:ind w:hanging="709" w:left="993"/>
      </w:pPr>
      <w:r>
        <w:t>Chapple IL, Bouchard P, Cagetti MG, Campus G, Carra MC, Cocco F, Nibali L, Hujoel P, Laine ML, Lingstrom P, Manton DJ, Montero E, Pitts N, Rangé H, Schlueter N, Teughels W, Twetman S, Van Loveren C, Van der Weijden F, Vieira AR,  Schulte AG. Interaction of lifestyle, behavior or systemic diseases with dental  caries and periodontal diseases: consensus report of group 2 of the joint EFP/ORCA workshop on the boundaries between caries and periodontal diseases. J Clin Periodontol. 2017 Mar;44 Suppl 18:S39-S51. doi: 10.1111/jcpe.12685. PubMed PMID: 28266114.</w:t>
      </w:r>
    </w:p>
    <w:p w14:paraId="1D030000">
      <w:pPr>
        <w:pStyle w:val="Style_6"/>
        <w:widowControl w:val="1"/>
        <w:numPr>
          <w:ilvl w:val="0"/>
          <w:numId w:val="13"/>
        </w:numPr>
        <w:ind w:hanging="709" w:left="993"/>
      </w:pPr>
      <w:r>
        <w:t>Jin LJ, Lamster IB, Greenspan JS, Pitts NB, Scully C, Warnakulasuriya S. Global burden of oral diseases: emerging concepts, management and interplay with  systemic health. Oral Dis. 2016 Oct;22(7):609-19. doi: 10.1111/odi.12428. Epub 2016 Jan 20. Review. PubMed PMID: 26704694</w:t>
      </w:r>
    </w:p>
    <w:p w14:paraId="1E030000">
      <w:pPr>
        <w:pStyle w:val="Style_6"/>
        <w:widowControl w:val="1"/>
        <w:numPr>
          <w:ilvl w:val="0"/>
          <w:numId w:val="13"/>
        </w:numPr>
        <w:ind w:hanging="709" w:left="993"/>
      </w:pPr>
      <w:r>
        <w:t xml:space="preserve">González-Cabezas C, Fernández CE. Recent Advances in Remineralization Therapies for Caries Lesions. Adv Dent Res. 2018 Feb;29(1):55-59. doi: 10.1177/0022034517740124. Review. PubMed PMID: 29355426; Cury JA, Tenuta LM. Enamel remineralization: controlling the caries disease or treating early caries lesions? </w:t>
      </w:r>
      <w:r>
        <w:t>Braz Oral Res. 2009;23 Suppl 1:23-30. Review. PubMed PMID: 19838555.</w:t>
      </w:r>
    </w:p>
    <w:p w14:paraId="1F030000">
      <w:pPr>
        <w:pStyle w:val="Style_6"/>
        <w:widowControl w:val="1"/>
        <w:numPr>
          <w:ilvl w:val="0"/>
          <w:numId w:val="13"/>
        </w:numPr>
        <w:ind w:hanging="709" w:left="993"/>
      </w:pPr>
      <w:r>
        <w:t>Авраамова, О.Г. Повышение реминерализующей функции ротовой жидкости с помощью эндогенных и экзогенных методов насыщения ее минеральными комплексами / О.Г. Авраамова, Ю.А. Ипполитов, Я.А. Плотникова, П.В. Середин, Д.Л. Голощапов, Е.О. Алешина // Стоматология. – 2017. – Т. 96. – № 2 – С. 6–11</w:t>
      </w:r>
    </w:p>
    <w:p w14:paraId="20030000">
      <w:pPr>
        <w:pStyle w:val="Style_6"/>
        <w:widowControl w:val="1"/>
        <w:numPr>
          <w:ilvl w:val="0"/>
          <w:numId w:val="13"/>
        </w:numPr>
        <w:ind w:hanging="709" w:left="993"/>
      </w:pPr>
      <w:r>
        <w:t>Голованенко, А.Л. Обзор реминерализующих лекарственных средств, применяющихся для профилактики и лечения начального кариеса эмали / Л.А. Голованенко // Pacific Medical Journal. – 2018. № 2. – С. 37–43</w:t>
      </w:r>
    </w:p>
    <w:p w14:paraId="21030000">
      <w:pPr>
        <w:pStyle w:val="Style_6"/>
        <w:widowControl w:val="1"/>
        <w:numPr>
          <w:ilvl w:val="0"/>
          <w:numId w:val="13"/>
        </w:numPr>
        <w:ind w:hanging="709" w:left="993"/>
      </w:pPr>
      <w:r>
        <w:t>Голованенко, А.Л. Исследование реминерализующей активности лекарственных форм для лечения начального кариеса эмали / Л.А. Голованенко, Е.В. Третьякова, Е.С. Патлусова, И.В. Алексеева, Е.С. Березина, Р.Г. Першина // Фармация и фармакология. – 2018. – № 6(4). – С. 380–388;</w:t>
      </w:r>
    </w:p>
    <w:p w14:paraId="22030000">
      <w:pPr>
        <w:pStyle w:val="Style_6"/>
        <w:widowControl w:val="1"/>
        <w:numPr>
          <w:ilvl w:val="0"/>
          <w:numId w:val="13"/>
        </w:numPr>
        <w:ind w:hanging="709" w:left="993"/>
      </w:pPr>
      <w:r>
        <w:t xml:space="preserve">Ипполитов, Ю.А. Применение минеральных комплексов в эндогенных и экзогенных методах профилактики с целью предупреждения развития первичной деминерализации твердых тканей зуба / Ю.А. Ипполитов, Я.А. Плотникова, Е.О. </w:t>
      </w:r>
      <w:r>
        <w:t>Алёшина, Т.В. Маркина // Вестник новых медицинских технологий. – 2016. – Т. 23. – № 2. – С. 164–170</w:t>
      </w:r>
    </w:p>
    <w:p w14:paraId="23030000">
      <w:pPr>
        <w:pStyle w:val="Style_6"/>
        <w:widowControl w:val="1"/>
        <w:numPr>
          <w:ilvl w:val="0"/>
          <w:numId w:val="13"/>
        </w:numPr>
        <w:ind w:hanging="709" w:left="993"/>
      </w:pPr>
      <w:r>
        <w:t>Сысоева, О.В. Оценка эффективности средств для реминерализующей терапии / О.В. Сысоева, О.В. Бондаренко, С.И. Токмакова, Е.Г. Дударева // Проблемы стоматологии. – 2013. – № 3. – С. 32–36.</w:t>
      </w:r>
    </w:p>
    <w:p w14:paraId="24030000">
      <w:pPr>
        <w:pStyle w:val="Style_6"/>
        <w:widowControl w:val="1"/>
        <w:numPr>
          <w:ilvl w:val="0"/>
          <w:numId w:val="13"/>
        </w:numPr>
        <w:ind w:hanging="709" w:left="993"/>
      </w:pPr>
      <w:r>
        <w:t>Фатталь, Р.К. Сравнительная оценка клинической эффективности современных препаратов для реминерализующей терапии / Р.К. Фатталь, Ж.В. Соловьёва // Современные проблемы науки и образования. – 2014. – № 4. – С. 327;</w:t>
      </w:r>
    </w:p>
    <w:p w14:paraId="25030000">
      <w:pPr>
        <w:pStyle w:val="Style_6"/>
        <w:widowControl w:val="1"/>
        <w:numPr>
          <w:ilvl w:val="0"/>
          <w:numId w:val="13"/>
        </w:numPr>
        <w:ind w:hanging="709" w:left="993"/>
      </w:pPr>
      <w:r>
        <w:t>Aoun, A. The Fluoride debate: the pros and cons of fluoridation / A. Aoun, F. Darwiche, Al.S. Hayek, J. Doumit // Prev Nutr Food Sci. – 2018. – № 23(3). – P. 171–180;</w:t>
      </w:r>
    </w:p>
    <w:p w14:paraId="26030000">
      <w:pPr>
        <w:pStyle w:val="Style_6"/>
        <w:widowControl w:val="1"/>
        <w:numPr>
          <w:ilvl w:val="0"/>
          <w:numId w:val="13"/>
        </w:numPr>
        <w:ind w:hanging="709" w:left="993"/>
      </w:pPr>
      <w:r>
        <w:t>Chandna, P. Remineralizing Agents: The Next Frontier / P Chandna, N. Srivastava, Ali S. Curr // Clin Pharmacol. – 2016. – № 11(3). – P. 211–220</w:t>
      </w:r>
    </w:p>
    <w:p w14:paraId="27030000">
      <w:pPr>
        <w:pStyle w:val="Style_6"/>
        <w:widowControl w:val="1"/>
        <w:numPr>
          <w:ilvl w:val="0"/>
          <w:numId w:val="13"/>
        </w:numPr>
        <w:ind w:hanging="709" w:left="993"/>
      </w:pPr>
      <w:r>
        <w:t xml:space="preserve">Cochrane, NJ. Ion release from calcium and fluoride containing dental varnishes / NJ.Cochrane, P. Shen, Y. Yuan, EC. </w:t>
      </w:r>
      <w:r>
        <w:t>Reynolds // Aust Dent J. – 2014. – № 59(1). – P. 100–105</w:t>
      </w:r>
    </w:p>
    <w:p w14:paraId="28030000">
      <w:pPr>
        <w:pStyle w:val="Style_6"/>
        <w:widowControl w:val="1"/>
        <w:numPr>
          <w:ilvl w:val="0"/>
          <w:numId w:val="13"/>
        </w:numPr>
        <w:ind w:hanging="709" w:left="993"/>
      </w:pPr>
      <w:r>
        <w:t>Pollick, H. The role of fluoride in the prevention of tooth decay / H Pollick // Pediatr Clin North Am. – 2018. – № 65(5). – P. 923–940</w:t>
      </w:r>
    </w:p>
    <w:p w14:paraId="29030000">
      <w:pPr>
        <w:pStyle w:val="Style_6"/>
        <w:widowControl w:val="1"/>
        <w:numPr>
          <w:ilvl w:val="0"/>
          <w:numId w:val="13"/>
        </w:numPr>
        <w:ind w:hanging="709" w:left="993"/>
      </w:pPr>
      <w:r>
        <w:t>Bijle, MNA. Calcium-Based Caries Preventive Agents: A Meta-evaluation of Systematic Reviews and Meta-analysis / MNA. Bijle, CKY. Yiu, M. Ekambaram //J Evid Based Dent Pract. – 2018. – № 18(3). – P. 203–217.</w:t>
      </w:r>
    </w:p>
    <w:p w14:paraId="2A030000">
      <w:pPr>
        <w:pStyle w:val="Style_6"/>
        <w:widowControl w:val="1"/>
        <w:numPr>
          <w:ilvl w:val="0"/>
          <w:numId w:val="13"/>
        </w:numPr>
        <w:ind w:hanging="709" w:left="993"/>
      </w:pPr>
      <w:r>
        <w:t xml:space="preserve">Киселева, Д.В. Экспериментальная оценка эффективности реминерализующих зубных гелей и паст по данным СЭМ ЭДС/ Д.В. Киселева, С.П. Главатских, М.И. Власова // </w:t>
      </w:r>
      <w:r>
        <w:rPr>
          <w:rStyle w:val="Style_26_ch"/>
        </w:rPr>
        <w:fldChar w:fldCharType="begin"/>
      </w:r>
      <w:r>
        <w:rPr>
          <w:rStyle w:val="Style_26_ch"/>
        </w:rPr>
        <w:instrText>HYPERLINK "https://elibrary.ru/contents.asp?id=34832503"</w:instrText>
      </w:r>
      <w:r>
        <w:rPr>
          <w:rStyle w:val="Style_26_ch"/>
        </w:rPr>
        <w:fldChar w:fldCharType="separate"/>
      </w:r>
      <w:r>
        <w:rPr>
          <w:rStyle w:val="Style_26_ch"/>
        </w:rPr>
        <w:t>Уральская минералогическая школа</w:t>
      </w:r>
      <w:r>
        <w:rPr>
          <w:rStyle w:val="Style_26_ch"/>
        </w:rPr>
        <w:fldChar w:fldCharType="end"/>
      </w:r>
      <w:r>
        <w:t>. – 2014. – № 20. – С. 106–107</w:t>
      </w:r>
    </w:p>
    <w:p w14:paraId="2B030000">
      <w:pPr>
        <w:pStyle w:val="Style_6"/>
        <w:widowControl w:val="1"/>
        <w:numPr>
          <w:ilvl w:val="0"/>
          <w:numId w:val="13"/>
        </w:numPr>
        <w:ind w:hanging="709" w:left="993"/>
      </w:pPr>
      <w:r>
        <w:t>Леонтьева, Е.Ю. Реминерализующая терапия с использованием Tooth Mousse и MI Paste Plus (GC) / Е.Ю. Леонтьева, О.Е. Ткачук, И.Б. Нектаревская // Проблемы стоматологии. – 2013. – № 1. – С. 31–35</w:t>
      </w:r>
    </w:p>
    <w:p w14:paraId="2C030000">
      <w:pPr>
        <w:pStyle w:val="Style_6"/>
        <w:widowControl w:val="1"/>
        <w:numPr>
          <w:ilvl w:val="0"/>
          <w:numId w:val="13"/>
        </w:numPr>
        <w:ind w:hanging="709" w:left="993"/>
      </w:pPr>
      <w:r>
        <w:t>Жаркова, О.А. Реминерализующая терапия с использованием GC Tooth Mousse / О. А. Жаркова // Проблемы стоматологии. – 2012. – № 1. – С. 33–37.</w:t>
      </w:r>
    </w:p>
    <w:p w14:paraId="2D030000">
      <w:pPr>
        <w:pStyle w:val="Style_6"/>
        <w:widowControl w:val="1"/>
        <w:numPr>
          <w:ilvl w:val="0"/>
          <w:numId w:val="13"/>
        </w:numPr>
        <w:ind w:hanging="709" w:left="993"/>
      </w:pPr>
      <w:r>
        <w:t xml:space="preserve">Pithon, MM. Effectiveness of varnish with CPP-ACP in prevention of caries lesions around orthodontic brackets / MM. Pithon, MJ. Dos Santos, CS. Andrade, JC. Leão Filho, AK. </w:t>
      </w:r>
      <w:r>
        <w:t>Braz, RE. Araujo [et al.] // Eur J Orthod. – 2015. – № 37. – P. 177–182</w:t>
      </w:r>
    </w:p>
    <w:p w14:paraId="2E030000">
      <w:pPr>
        <w:pStyle w:val="Style_6"/>
        <w:widowControl w:val="1"/>
        <w:numPr>
          <w:ilvl w:val="0"/>
          <w:numId w:val="13"/>
        </w:numPr>
        <w:ind w:hanging="709" w:left="993"/>
      </w:pPr>
      <w:r>
        <w:t>Yazıcıoğlu O, Ulukapı H. The investigation of non-invasive techniques for treating early approximal carious lesions: an in vivo study. Int Dent J. 2014 Feb;64(1):1-11. doi: 10.1111/idj.12056. Epub 2013 Oct 8. PubMed PMID: 24460589.</w:t>
      </w:r>
    </w:p>
    <w:p w14:paraId="2F030000">
      <w:pPr>
        <w:pStyle w:val="Style_6"/>
        <w:widowControl w:val="1"/>
        <w:numPr>
          <w:ilvl w:val="0"/>
          <w:numId w:val="13"/>
        </w:numPr>
        <w:ind w:hanging="709" w:left="993"/>
      </w:pPr>
      <w:r>
        <w:t>Соловьёва Жанна Владимировна, Фатталь Руслан Кадерович, and Кирш Ксения Дмитриевна. "Оценка эффективности современных лечебно-профилактических паст на основе наногидроксиапатита (клинико-лабораторное исследование)" Здоровье и образование в XXI веке, vol. 18, no. 2, 2016, pp. 66-70</w:t>
      </w:r>
    </w:p>
    <w:p w14:paraId="30030000">
      <w:pPr>
        <w:pStyle w:val="Style_6"/>
        <w:widowControl w:val="1"/>
        <w:numPr>
          <w:ilvl w:val="0"/>
          <w:numId w:val="13"/>
        </w:numPr>
        <w:ind w:hanging="709" w:left="993"/>
      </w:pPr>
      <w:r>
        <w:t>Farooq I, Ali S, Al-Khalifa KS, Alhooshani K. Total and soluble fluoride concentration present in various commercial brands of children toothpastes available in Saudi Arabia - A pilot study. Saudi Dent J. 2018 Apr;30(2):161-165. doi: 10.1016/j.sdentj.2018.01.001. Epub 2018 Jan 31. PubMed PMID: 29628740; PubMed Central PMCID: PMC5884239</w:t>
      </w:r>
    </w:p>
    <w:p w14:paraId="31030000">
      <w:pPr>
        <w:pStyle w:val="Style_6"/>
        <w:widowControl w:val="1"/>
        <w:numPr>
          <w:ilvl w:val="0"/>
          <w:numId w:val="13"/>
        </w:numPr>
        <w:ind w:hanging="709" w:left="993"/>
      </w:pPr>
      <w:r>
        <w:t>Bossù M, Saccucci M, Salucci A, Di Giorgio G, Bruni E, Uccelletti D, Sarto MS, Familiari G, Relucenti M, Polimeni A. Enamel remineralization and repair results of Biomimetic Hydroxyapatite toothpaste on deciduous teeth: an effective option to fluoride toothpaste. J Nanobiotechnology. 2019 Jan 25;17(1):17. doi:10.1186/s12951-019-0454-6. PubMed PMID: 30683113; PubMed Central PMCID:PMC6346538</w:t>
      </w:r>
    </w:p>
    <w:p w14:paraId="32030000">
      <w:pPr>
        <w:pStyle w:val="Style_6"/>
        <w:widowControl w:val="1"/>
        <w:numPr>
          <w:ilvl w:val="0"/>
          <w:numId w:val="13"/>
        </w:numPr>
        <w:ind w:hanging="709" w:left="993"/>
      </w:pPr>
      <w:r>
        <w:t>Elkassas D, Arafa A. The innovative applications of therapeutic nanostructures in dentistry. Nanomedicine. 2017 May;13(4):1543-1562. doi:10.1016/j.nano.2017.01.018. Epub 2017 Feb 20. Review. PubMed PMID: 28232213</w:t>
      </w:r>
    </w:p>
    <w:p w14:paraId="33030000">
      <w:pPr>
        <w:pStyle w:val="Style_6"/>
        <w:widowControl w:val="1"/>
        <w:numPr>
          <w:ilvl w:val="0"/>
          <w:numId w:val="13"/>
        </w:numPr>
        <w:ind w:hanging="709" w:left="993"/>
      </w:pPr>
      <w:r>
        <w:t>He L, Hao Y, Zhen L, Liu H, Shao M, Xu X, Liang K, Gao Y, Yuan H, Li J, Li J, Cheng L, van Loveren C. Biomineralization of dentin. J Struct Biol. 2019 Aug 1;207(2):115-122. doi: 10.1016/j.jsb.2019.05.010. Epub 2019 May 30. Review.</w:t>
      </w:r>
    </w:p>
    <w:p w14:paraId="34030000">
      <w:pPr>
        <w:pStyle w:val="Style_6"/>
        <w:widowControl w:val="1"/>
        <w:numPr>
          <w:ilvl w:val="0"/>
          <w:numId w:val="13"/>
        </w:numPr>
        <w:ind w:hanging="709" w:left="993"/>
      </w:pPr>
      <w:r>
        <w:t>PubMed PMID: 31153927; Esteves-Oliveira M, Santos NM, Meyer-Lueckel H, Wierichs RJ, Rodrigues JA. Caries-preventive effect of anti-erosive and nano-hydroxyapatite-containing toothpastes in vitro. Clin Oral Investig. 2017 Jan;21(1):291-300. doi: 10.1007/s00784-016-1789-0. Epub 2016 Mar 19. PubMed PMID: 26993660</w:t>
      </w:r>
    </w:p>
    <w:p w14:paraId="35030000">
      <w:pPr>
        <w:pStyle w:val="Style_6"/>
        <w:widowControl w:val="1"/>
        <w:numPr>
          <w:ilvl w:val="0"/>
          <w:numId w:val="13"/>
        </w:numPr>
        <w:ind w:hanging="709" w:left="993"/>
      </w:pPr>
      <w:r>
        <w:t xml:space="preserve">Meyer-Lueckel H, Paris S. Improved resin infiltration of natural caries lesions. </w:t>
      </w:r>
      <w:r>
        <w:t>J Dent Res 2008; 87: 1112–1116</w:t>
      </w:r>
    </w:p>
    <w:p w14:paraId="36030000">
      <w:pPr>
        <w:pStyle w:val="Style_6"/>
        <w:widowControl w:val="1"/>
        <w:numPr>
          <w:ilvl w:val="0"/>
          <w:numId w:val="13"/>
        </w:numPr>
        <w:ind w:hanging="709" w:left="993"/>
      </w:pPr>
      <w:r>
        <w:t xml:space="preserve">Paris S, Hopfenmuller W, Meyer-Lueckel H. Resin infiltration of caries lesions: an efficacy randomized trial. </w:t>
      </w:r>
      <w:r>
        <w:t>J Dent Res 2010; 89: 823–826</w:t>
      </w:r>
    </w:p>
    <w:p w14:paraId="37030000">
      <w:pPr>
        <w:pStyle w:val="Style_6"/>
        <w:widowControl w:val="1"/>
        <w:numPr>
          <w:ilvl w:val="0"/>
          <w:numId w:val="13"/>
        </w:numPr>
        <w:ind w:hanging="709" w:left="993"/>
      </w:pPr>
      <w:r>
        <w:t xml:space="preserve">Bidarkar, Atul. In vitro prevention of secondary demineralization by icon (infiltration concept). </w:t>
      </w:r>
      <w:r>
        <w:t>MS (Master of Science) thesis, University of Iowa, 2011</w:t>
      </w:r>
    </w:p>
    <w:p w14:paraId="38030000">
      <w:pPr>
        <w:pStyle w:val="Style_6"/>
        <w:widowControl w:val="1"/>
        <w:numPr>
          <w:ilvl w:val="0"/>
          <w:numId w:val="13"/>
        </w:numPr>
        <w:ind w:hanging="709" w:left="993"/>
      </w:pPr>
      <w:r>
        <w:t xml:space="preserve">Paris S, Dorfer CE, Meyer-Lueckel H. Surface conditioning of natural enamel caries lesions in deciduous teeth in preparation for resin infiltration. </w:t>
      </w:r>
      <w:r>
        <w:t>J Dent 2009; 38: 65–71</w:t>
      </w:r>
    </w:p>
    <w:p w14:paraId="39030000">
      <w:pPr>
        <w:pStyle w:val="Style_6"/>
        <w:widowControl w:val="1"/>
        <w:numPr>
          <w:ilvl w:val="0"/>
          <w:numId w:val="13"/>
        </w:numPr>
        <w:ind w:hanging="709" w:left="993"/>
      </w:pPr>
      <w:r>
        <w:t xml:space="preserve">Paris S, Meyer-Lueckel H. Masking of labial enamel white spot lesions by resin infiltration – a clinical report. </w:t>
      </w:r>
      <w:r>
        <w:t>Quintessence Int 2009; 40: 713–718</w:t>
      </w:r>
    </w:p>
    <w:p w14:paraId="3A030000">
      <w:pPr>
        <w:pStyle w:val="Style_6"/>
        <w:widowControl w:val="1"/>
        <w:numPr>
          <w:ilvl w:val="0"/>
          <w:numId w:val="13"/>
        </w:numPr>
        <w:ind w:hanging="709" w:left="993"/>
      </w:pPr>
      <w:r>
        <w:t>Терехова Т.Н., Бутвиловский А.В., Яцук А.И., Бурак Ж.М. Инфильтрация эмали – новый метод минимально инвазивного лечения кариеса зубов // Стоматологический журнал. – 2010, №1. – С. 73-76</w:t>
      </w:r>
    </w:p>
    <w:p w14:paraId="3B030000">
      <w:pPr>
        <w:pStyle w:val="Style_6"/>
        <w:widowControl w:val="1"/>
        <w:numPr>
          <w:ilvl w:val="0"/>
          <w:numId w:val="13"/>
        </w:numPr>
        <w:ind w:hanging="709" w:left="993"/>
      </w:pPr>
      <w:r>
        <w:t>Скатова Е.А., Хощевская И.А. Эстетические аспекты лечения начальных форм кариеса методом инфильтрации // Институт Стоматологии. - 2010. - №3(48). - С. 15-17</w:t>
      </w:r>
    </w:p>
    <w:p w14:paraId="3C030000">
      <w:pPr>
        <w:pStyle w:val="Style_6"/>
        <w:widowControl w:val="1"/>
        <w:numPr>
          <w:ilvl w:val="0"/>
          <w:numId w:val="13"/>
        </w:numPr>
        <w:ind w:hanging="709" w:left="993"/>
      </w:pPr>
      <w:r>
        <w:t>Doméjean S, Ducamp R, Léger S, Holmgren C. Resin infiltration of non-cavitated caries lesions: a systematic review. Med Princ Pract. 2015;24(3):216-21. doi: 10.1159/000371709. Epub 2015 Feb 6. Review. PubMed PMID: 25661012; PubMed Central PMCID: PMC5588225</w:t>
      </w:r>
    </w:p>
    <w:p w14:paraId="3D030000">
      <w:pPr>
        <w:pStyle w:val="Style_6"/>
        <w:widowControl w:val="1"/>
        <w:numPr>
          <w:ilvl w:val="0"/>
          <w:numId w:val="13"/>
        </w:numPr>
        <w:ind w:hanging="709" w:left="993"/>
      </w:pPr>
      <w:r>
        <w:t>Ammari MM, Jorge RC, Souza IPR, Soviero VM. Efficacy of resin infiltration of proximal caries in primary molars: 1-year follow-up of a split-mouth randomized controlled clinical trial. Clin Oral Investig. 2018 Apr;22(3):1355-1362. doi:10.1007/s00784-017-2227-7. Epub 2017 Oct 8. PubMed PMID: 28990122.</w:t>
      </w:r>
    </w:p>
    <w:p w14:paraId="3E030000">
      <w:pPr>
        <w:pStyle w:val="Style_6"/>
        <w:widowControl w:val="1"/>
        <w:numPr>
          <w:ilvl w:val="0"/>
          <w:numId w:val="13"/>
        </w:numPr>
        <w:ind w:hanging="709" w:left="993"/>
      </w:pPr>
      <w:r>
        <w:t xml:space="preserve">Chatzimarkou S, Koletsi D, Kavvadia K. The effect of resin infiltration on proximal caries lesions in primary and permanent teeth. A systematic review and meta-analysis of clinical trials. J Dent. 2018 Oct;77:8-17. doi:10.1016/j.jdent.2018.08.004. </w:t>
      </w:r>
      <w:r>
        <w:t>Epub 2018 Aug 6. Review. PubMed PMID: 30092238.</w:t>
      </w:r>
    </w:p>
    <w:p w14:paraId="3F030000">
      <w:pPr>
        <w:pStyle w:val="Style_6"/>
        <w:widowControl w:val="1"/>
        <w:numPr>
          <w:ilvl w:val="0"/>
          <w:numId w:val="13"/>
        </w:numPr>
        <w:ind w:hanging="709" w:left="993"/>
      </w:pPr>
      <w:r>
        <w:t>Ntovas P, Rahiotis C. A clinical guideline for caries infiltration of proximal enamel lesions with resins. Br Dent J. 2018 Aug 24;225(4):299-304. doi:10.1038/sj.bdj.2018.647. Review. PubMed PMID: 30141501.</w:t>
      </w:r>
    </w:p>
    <w:p w14:paraId="40030000">
      <w:pPr>
        <w:pStyle w:val="Style_6"/>
        <w:widowControl w:val="1"/>
        <w:numPr>
          <w:ilvl w:val="0"/>
          <w:numId w:val="13"/>
        </w:numPr>
        <w:ind w:hanging="709" w:left="993"/>
      </w:pPr>
      <w:r>
        <w:t xml:space="preserve">Borges AB, Caneppele TM, Masterson D, Maia LC. Is resin infiltration an effective esthetic treatment for enamel development defects and white spot lesions? A systematic review. J Dent. 2017 Jan;56:11-18. doi:10.1016/j.jdent.2016.10.010. Epub 2016 Oct 25. </w:t>
      </w:r>
      <w:r>
        <w:t>Review. PubMed PMID: 27793705.</w:t>
      </w:r>
    </w:p>
    <w:p w14:paraId="41030000">
      <w:pPr>
        <w:pStyle w:val="Style_6"/>
        <w:widowControl w:val="1"/>
        <w:numPr>
          <w:ilvl w:val="0"/>
          <w:numId w:val="13"/>
        </w:numPr>
        <w:ind w:hanging="709" w:left="993"/>
      </w:pPr>
      <w:r>
        <w:t xml:space="preserve">Meyer-Lueckel H, Balbach A, Schikowsky C, Bitter K, Paris S. Pragmatic RCT on the Efficacy of Proximal Caries Infiltration. </w:t>
      </w:r>
      <w:r>
        <w:t>J Dent Res. 2016 May;95(5):531-6.doi: 10.1177/0022034516629116. Epub 2016 Jan 29. PubMed PMID: 26826108.</w:t>
      </w:r>
    </w:p>
    <w:p w14:paraId="42030000">
      <w:pPr>
        <w:pStyle w:val="Style_6"/>
        <w:widowControl w:val="1"/>
        <w:numPr>
          <w:ilvl w:val="0"/>
          <w:numId w:val="13"/>
        </w:numPr>
        <w:ind w:hanging="709" w:left="993"/>
      </w:pPr>
      <w:r>
        <w:t>Гилева О.С., Левицкая А.Д., Сюткина Е.С., Халявина И.Н. Многоуровневый анализ микроструктуры эмали в обосновании микроинвазивных технологий лечения очаговой деминерализации эмали у пациентов ортодонтического профиля. Эндодонтия Today. 2019. Т. 17. № 3. С. 17-20.</w:t>
      </w:r>
    </w:p>
    <w:p w14:paraId="43030000">
      <w:pPr>
        <w:pStyle w:val="Style_6"/>
        <w:widowControl w:val="1"/>
        <w:numPr>
          <w:ilvl w:val="0"/>
          <w:numId w:val="13"/>
        </w:numPr>
        <w:ind w:hanging="709" w:left="993"/>
      </w:pPr>
      <w:r>
        <w:t>Левицкая А.Д., Гилева О.С., Изюмов Р.И., Сюткина Е.С. Экспериментальная оценка проникающей способности жидкотекучего композита в деминерализованную эмаль. Dental Forum. 2019. № 4. С. 56-57.</w:t>
      </w:r>
    </w:p>
    <w:p w14:paraId="44030000">
      <w:pPr>
        <w:pStyle w:val="Style_6"/>
        <w:widowControl w:val="1"/>
        <w:numPr>
          <w:ilvl w:val="0"/>
          <w:numId w:val="13"/>
        </w:numPr>
        <w:ind w:hanging="709" w:left="993"/>
      </w:pPr>
      <w:r>
        <w:t>Гилева О.С., Левицкая А.Д., Сюткина Е.С., Коротин С.В., Гибадуллина Н.В., Свистков А.Л. Экспериментально-клиническая оценка эффективности применения различных методов лечения очаговой деминерализации эмали. Современные проблемы науки и образования. 2018. № 6. С. 99.</w:t>
      </w:r>
    </w:p>
    <w:p w14:paraId="45030000">
      <w:pPr>
        <w:pStyle w:val="Style_6"/>
        <w:widowControl w:val="1"/>
        <w:numPr>
          <w:ilvl w:val="0"/>
          <w:numId w:val="13"/>
        </w:numPr>
        <w:ind w:hanging="709" w:left="993"/>
      </w:pPr>
      <w:r>
        <w:t xml:space="preserve">Kielbassa AM, Glockner G, Wolgin M, Glockner K. Systematic review on highly viscous glass-ionomer cement/resin coating restorations (Part II): Do they merge Minamata Convention and minimum intervention dentistry? </w:t>
      </w:r>
      <w:r>
        <w:t>Quintessence Int. 2017;48(1):9-18. doi: 10.3290/j.qi.a37211. Review. PubMed PMID: 28054040</w:t>
      </w:r>
    </w:p>
    <w:p w14:paraId="46030000">
      <w:pPr>
        <w:pStyle w:val="Style_6"/>
        <w:widowControl w:val="1"/>
        <w:numPr>
          <w:ilvl w:val="0"/>
          <w:numId w:val="13"/>
        </w:numPr>
        <w:ind w:hanging="709" w:left="993"/>
      </w:pPr>
      <w:r>
        <w:t xml:space="preserve">Kielbassa AM, Glockner G, Wolgin M, Glockner K. Systematic review on highly viscous glass-ionomer cement/resin coating restorations (Part I): Do they merge Minamata Convention and minimum intervention dentistry? </w:t>
      </w:r>
      <w:r>
        <w:t>Quintessence Int. 2016;47(10):813-823. doi: 10.3290/j.qi.a36884. Review. PubMed PMID: 27757445.</w:t>
      </w:r>
    </w:p>
    <w:p w14:paraId="47030000">
      <w:pPr>
        <w:pStyle w:val="Style_6"/>
        <w:widowControl w:val="1"/>
        <w:numPr>
          <w:ilvl w:val="0"/>
          <w:numId w:val="13"/>
        </w:numPr>
        <w:ind w:hanging="709" w:left="993"/>
      </w:pPr>
      <w:r>
        <w:t xml:space="preserve">Buchalla W, Lennon AM, Trage K, Becker K, Attin T. [Enamel fluoride uptake following fluoride application and fluoride precipitation]. </w:t>
      </w:r>
      <w:r>
        <w:t>Schweiz Monatsschr Zahnmed. 2007;117(2):118-22. German. PubMed PMID: 17345998</w:t>
      </w:r>
    </w:p>
    <w:p w14:paraId="48030000">
      <w:pPr>
        <w:pStyle w:val="Style_6"/>
        <w:widowControl w:val="1"/>
        <w:numPr>
          <w:ilvl w:val="0"/>
          <w:numId w:val="13"/>
        </w:numPr>
        <w:ind w:hanging="709" w:left="993"/>
      </w:pPr>
      <w:r>
        <w:t>Кнаппвост А. Показания к применению и механизмы кариеспрофилактического действия препаратов глубокого фторирования - эмаль-герметизирующего и дентин-герметизирующего ликвидов. Проблемы стоматологии. 2005. № 3. С. 3-9.</w:t>
      </w:r>
    </w:p>
    <w:p w14:paraId="49030000">
      <w:pPr>
        <w:pStyle w:val="Style_6"/>
        <w:widowControl w:val="1"/>
        <w:numPr>
          <w:ilvl w:val="0"/>
          <w:numId w:val="13"/>
        </w:numPr>
        <w:ind w:hanging="709" w:left="993"/>
      </w:pPr>
      <w:r>
        <w:t>Соловьева Ж.В., Адамчик А.А. Эффективность применения глубокого фторирования в профилактике кариеса эмали. Кубанский научный медицинский вестник. 2018. Т. 25. № 2. С. 135-139.</w:t>
      </w:r>
    </w:p>
    <w:p w14:paraId="4A030000">
      <w:pPr>
        <w:pStyle w:val="Style_6"/>
        <w:widowControl w:val="1"/>
        <w:numPr>
          <w:ilvl w:val="0"/>
          <w:numId w:val="13"/>
        </w:numPr>
        <w:ind w:hanging="709" w:left="993"/>
      </w:pPr>
      <w:r>
        <w:t>Бритова, А.А. Обоснование фотоактивации препарата для глубокого фторирования твёрдых тканей зуба / А.А. Бритова, Л.В. Ужахова, Л.Г. Прошина // Сборник научных трудов Sworld. – 2013. – № 4 – С. 16–20</w:t>
      </w:r>
    </w:p>
    <w:p w14:paraId="4B030000">
      <w:pPr>
        <w:pStyle w:val="Style_6"/>
        <w:widowControl w:val="1"/>
        <w:numPr>
          <w:ilvl w:val="0"/>
          <w:numId w:val="13"/>
        </w:numPr>
        <w:ind w:hanging="709" w:left="993"/>
      </w:pPr>
      <w:r>
        <w:t>Бутвиловский, А.В. Глубокое фторирование твердых тканей зубов: механизм действия, показания к применению / А.В. Бутвиловский, Ж.М. Бурак, Д.Н. Наумович, Н.Н. Винникова, Н.Г. Кухмар // Современная стоматология. – 2010. – № 1 – С. 30–33.</w:t>
      </w:r>
    </w:p>
    <w:p w14:paraId="4C030000">
      <w:pPr>
        <w:pStyle w:val="Style_6"/>
        <w:widowControl w:val="1"/>
        <w:numPr>
          <w:ilvl w:val="0"/>
          <w:numId w:val="13"/>
        </w:numPr>
        <w:ind w:hanging="709" w:left="993"/>
      </w:pPr>
      <w:r>
        <w:t xml:space="preserve">Соловьёва, Ж.В. Эффективность применения глубокого фторирования в профилактике кариеса эмали / Ж.В. Соловьёва, А.А. Адамчик // </w:t>
      </w:r>
      <w:r>
        <w:t>Кубанский научный медицинский вестник</w:t>
      </w:r>
      <w:r>
        <w:t>. – 2018. – Т. 25. – № 2. – С. 135–139</w:t>
      </w:r>
    </w:p>
    <w:p w14:paraId="4D030000">
      <w:pPr>
        <w:pStyle w:val="Style_6"/>
        <w:widowControl w:val="1"/>
        <w:numPr>
          <w:ilvl w:val="0"/>
          <w:numId w:val="13"/>
        </w:numPr>
        <w:ind w:hanging="709" w:left="993"/>
      </w:pPr>
      <w:r>
        <w:t xml:space="preserve">Yazkan B, Ermis RB. Effect of resin infiltration and microabrasion on the microhardness, surface roughness and morphology of incipient carious lesions. </w:t>
      </w:r>
      <w:r>
        <w:t>Acta Odontol Scand. 2018 Oct;76(7):473-481. doi: 10.1080/00016357.2018.1437217. Epub 2018 Feb 15. PubMed PMID: 29447057</w:t>
      </w:r>
    </w:p>
    <w:p w14:paraId="4E030000">
      <w:pPr>
        <w:pStyle w:val="Style_6"/>
        <w:widowControl w:val="1"/>
        <w:numPr>
          <w:ilvl w:val="0"/>
          <w:numId w:val="13"/>
        </w:numPr>
        <w:ind w:hanging="709" w:left="993"/>
      </w:pPr>
      <w:r>
        <w:t>Jahanbin A, Ameri H, Shahabi M, Ghazi A. Management of Post-orthodontic White Spot Lesions and Subsequent Enamel Discoloration with Two Microabrasion Techniques. J Dent (Shiraz). 2015 Mar;16(1 Suppl):56-60. PubMed PMID: 26106636; PubMed Central PMCID: PMC4476120</w:t>
      </w:r>
    </w:p>
    <w:p w14:paraId="4F030000">
      <w:pPr>
        <w:pStyle w:val="Style_6"/>
        <w:widowControl w:val="1"/>
        <w:numPr>
          <w:ilvl w:val="0"/>
          <w:numId w:val="13"/>
        </w:numPr>
        <w:ind w:hanging="709" w:left="993"/>
      </w:pPr>
      <w:r>
        <w:t xml:space="preserve">Souza de Barros Vasconcelos MQ, Almeida Vieira K, da Consolação Canuto Salgueiro M, Almeida Alfaya T, Santos Ferreira C, Bussadori SK. Microabrasion: a treatment option for white spots. J Clin Pediatr Dent. 2014 Fall;39(1):27-9. </w:t>
      </w:r>
      <w:r>
        <w:t>PubMed PMID: 25631722.</w:t>
      </w:r>
    </w:p>
    <w:p w14:paraId="50030000">
      <w:pPr>
        <w:pStyle w:val="Style_6"/>
        <w:widowControl w:val="1"/>
        <w:numPr>
          <w:ilvl w:val="0"/>
          <w:numId w:val="13"/>
        </w:numPr>
        <w:ind w:hanging="709" w:left="993"/>
      </w:pPr>
      <w:r>
        <w:t xml:space="preserve">Pliska BT, Warner GA, Tantbirojn D, Larson BE. Treatment of white spot lesions with ACP paste and microabrasion. </w:t>
      </w:r>
      <w:r>
        <w:t>Angle Orthod. 2012 Sep;82(5):765-9. doi: 10.2319/111611-710.1. Epub 2012 Feb 21. PubMed PMID: 22352382</w:t>
      </w:r>
    </w:p>
    <w:p w14:paraId="51030000">
      <w:pPr>
        <w:pStyle w:val="Style_6"/>
        <w:widowControl w:val="1"/>
        <w:numPr>
          <w:ilvl w:val="0"/>
          <w:numId w:val="13"/>
        </w:numPr>
        <w:ind w:hanging="709" w:left="993"/>
      </w:pPr>
      <w:r>
        <w:t xml:space="preserve">Baysal A, Uysal T. Do enamel microabrasion and casein phosphopeptide-amorphous calcium phosphate affect shear bond strength of orthodontic brackets bonded to a demineralized enamel surface? </w:t>
      </w:r>
      <w:r>
        <w:t>Angle Orthod. 2012 Jan;82(1):36-41. doi:10.2319/041211-265.1. Epub 2011 Jul 25. PubMed PMID: 21787200</w:t>
      </w:r>
    </w:p>
    <w:p w14:paraId="52030000">
      <w:pPr>
        <w:pStyle w:val="Style_6"/>
        <w:widowControl w:val="1"/>
        <w:numPr>
          <w:ilvl w:val="0"/>
          <w:numId w:val="13"/>
        </w:numPr>
        <w:ind w:hanging="709" w:left="993"/>
      </w:pPr>
      <w:r>
        <w:t>Кролль Т. П. Лечение эмали зубов с помощью микроабразии. — «Квинтессенция». — 1995 . — 102 с</w:t>
      </w:r>
    </w:p>
    <w:p w14:paraId="53030000">
      <w:pPr>
        <w:pStyle w:val="Style_6"/>
        <w:widowControl w:val="1"/>
        <w:numPr>
          <w:ilvl w:val="0"/>
          <w:numId w:val="13"/>
        </w:numPr>
        <w:ind w:hanging="709" w:left="993"/>
      </w:pPr>
      <w:r>
        <w:t>Крихели Н.И. Современные методы отбеливания зубов и микроабразии эмали в эстетической стоматологии. – М.: Практическая медицина, 2008. – 205с.</w:t>
      </w:r>
    </w:p>
    <w:p w14:paraId="54030000">
      <w:pPr>
        <w:pStyle w:val="Style_6"/>
        <w:widowControl w:val="1"/>
        <w:numPr>
          <w:ilvl w:val="0"/>
          <w:numId w:val="13"/>
        </w:numPr>
        <w:ind w:hanging="709" w:left="993"/>
      </w:pPr>
      <w:r>
        <w:t>Крихели Н.И., Юхананова Б.В. Современные методы лечения кариеса эмали: микроабразия и инфильтрация. Российская стоматология. 2019. Т. 12. № 2. С. 25-30.</w:t>
      </w:r>
    </w:p>
    <w:p w14:paraId="55030000">
      <w:pPr>
        <w:pStyle w:val="Style_6"/>
        <w:widowControl w:val="1"/>
        <w:numPr>
          <w:ilvl w:val="0"/>
          <w:numId w:val="13"/>
        </w:numPr>
        <w:ind w:hanging="709" w:left="993"/>
      </w:pPr>
      <w:r>
        <w:t>Маркова Г.Б., Крихели Н.И., Аллик Е.Л., Аллик А.В., Марков Б.П. Применение микроинвазивных методов при эстетической коррекции фронтальной группы зубов. Российская стоматология. 2019. Т. 12. № 2. С. 43.</w:t>
      </w:r>
    </w:p>
    <w:p w14:paraId="56030000">
      <w:pPr>
        <w:pStyle w:val="Style_6"/>
        <w:widowControl w:val="1"/>
        <w:numPr>
          <w:ilvl w:val="0"/>
          <w:numId w:val="13"/>
        </w:numPr>
        <w:ind w:hanging="709" w:left="993"/>
      </w:pPr>
      <w:r>
        <w:t xml:space="preserve">Al-Angari SS, Hara AT. A conservative approach to esthetically treat stained arrested caries lesions. </w:t>
      </w:r>
      <w:r>
        <w:t>Quintessence Int. 2016;47(6):499-504. doi: 10.3290/j.qi.a36010. PubMed PMID: 27092359</w:t>
      </w:r>
    </w:p>
    <w:p w14:paraId="57030000">
      <w:pPr>
        <w:pStyle w:val="Style_6"/>
        <w:widowControl w:val="1"/>
        <w:numPr>
          <w:ilvl w:val="0"/>
          <w:numId w:val="13"/>
        </w:numPr>
        <w:ind w:hanging="709" w:left="993"/>
      </w:pPr>
      <w:r>
        <w:t>Al-Angari SS, Lippert F, Platt JA, Eckert GJ, González-Cabezas C, Li Y, Hara AT. Dental bleaching efficacy and impact on demineralization susceptibility of simulated stained-remineralized caries lesions. J Dent. 2019 Feb;81:59-63. doi: 10.1016/j.jdent.2018.12.008. Epub 2018 Dec 20. PubMed PMID: 30579860</w:t>
      </w:r>
    </w:p>
    <w:p w14:paraId="58030000">
      <w:pPr>
        <w:pStyle w:val="Style_6"/>
        <w:widowControl w:val="1"/>
        <w:numPr>
          <w:ilvl w:val="0"/>
          <w:numId w:val="13"/>
        </w:numPr>
        <w:ind w:hanging="709" w:left="993"/>
      </w:pPr>
      <w:r>
        <w:t xml:space="preserve">Al-Angari SS, Lippert F, Platt JA, Eckert GJ, González-Cabezas C, Li Y, Hara AT. Bleaching of simulated stained-remineralized caries lesions in vitro. Clin Oral Investig. </w:t>
      </w:r>
      <w:r>
        <w:t>2019 Apr;23(4):1785-1792. doi: 10.1007/s00784-018-2590-z. Epub 2018 Sep 4. PubMed PMID: 30182319</w:t>
      </w:r>
    </w:p>
    <w:p w14:paraId="59030000">
      <w:pPr>
        <w:pStyle w:val="Style_6"/>
        <w:widowControl w:val="1"/>
        <w:numPr>
          <w:ilvl w:val="0"/>
          <w:numId w:val="13"/>
        </w:numPr>
        <w:ind w:hanging="709" w:left="993"/>
      </w:pPr>
      <w:r>
        <w:t>Papageorgiou SN, Dimitraki D, Kotsanos N, Bekes K, van Waes H. Performance of pit and fissure sealants according to tooth characteristics: A systematic review and meta-analysis. J Dent. 2017 Nov;66:8-17. doi: 10.1016/j.jdent.2017.08.004. Epub 2017 Aug 8. Review. PubMed PMID: 28797916</w:t>
      </w:r>
    </w:p>
    <w:p w14:paraId="5A030000">
      <w:pPr>
        <w:pStyle w:val="Style_6"/>
        <w:widowControl w:val="1"/>
        <w:numPr>
          <w:ilvl w:val="0"/>
          <w:numId w:val="13"/>
        </w:numPr>
        <w:ind w:hanging="709" w:left="993"/>
      </w:pPr>
      <w:r>
        <w:t xml:space="preserve">Ahovuo-Saloranta A, Forss H, Walsh T, Nordblad A, Mäkelä M, Worthington HV. Pit and fissure sealants for preventing dental decay in permanent teeth. Cochrane Database Syst Rev. 2017 Jul 31;7:CD001830. doi: 10.1002/14651858.CD001830.pub5. Review. </w:t>
      </w:r>
      <w:r>
        <w:t>PubMed PMID: 28759120; PubMed Central PMCID: PMC6483295</w:t>
      </w:r>
    </w:p>
    <w:p w14:paraId="5B030000">
      <w:pPr>
        <w:pStyle w:val="Style_6"/>
        <w:widowControl w:val="1"/>
        <w:numPr>
          <w:ilvl w:val="0"/>
          <w:numId w:val="13"/>
        </w:numPr>
        <w:ind w:hanging="709" w:left="993"/>
      </w:pPr>
      <w:r>
        <w:t>Urquhart O, Tampi MP, Pilcher L, Slayton RL, Araujo MWB, Fontana M, Guzmán-Armstrong S, Nascimento MM, Nový BB, Tinanoff N, Weyant RJ, Wolff MS, Young DA, Zero DT, Brignardello-Petersen R, Banfield L, Parikh A, Joshi G, Carrasco-Labra A. Nonrestorative Treatments for Caries: Systematic Review and Network Meta-analysis. J Dent Res. 2019 Jan;98(1):14-26. doi: 10.1177/0022034518800014. Epub 2018 Oct 5. PubMed PMID: 30290130; PubMed Central PMCID: PMC6304695.</w:t>
      </w:r>
    </w:p>
    <w:p w14:paraId="5C030000">
      <w:pPr>
        <w:pStyle w:val="Style_6"/>
        <w:widowControl w:val="1"/>
        <w:numPr>
          <w:ilvl w:val="0"/>
          <w:numId w:val="13"/>
        </w:numPr>
        <w:ind w:hanging="709" w:left="993"/>
      </w:pPr>
      <w:r>
        <w:t>Mickenautsch S, Yengopal V. Caries-Preventive Effect of High-Viscosity Glass Ionomer and Resin-Based Fissure Sealants on Permanent Teeth: A Systematic Review of Clinical Trials. PLoS One. 2016 Jan 22;11(1):e0146512. doi: 10.1371/journal.pone.0146512. eCollection 2016. Review. PubMed PMID: 26799812; PubMed Central PMCID: PMC4723148.</w:t>
      </w:r>
    </w:p>
    <w:p w14:paraId="5D030000">
      <w:pPr>
        <w:pStyle w:val="Style_6"/>
        <w:widowControl w:val="1"/>
        <w:numPr>
          <w:ilvl w:val="0"/>
          <w:numId w:val="13"/>
        </w:numPr>
        <w:ind w:hanging="709" w:left="993"/>
      </w:pPr>
      <w:r>
        <w:t xml:space="preserve">Alirezaei M, Bagherian A, Sarraf Shirazi A. Glass ionomer cements as fissure sealing materials: yes or no?: A systematic review and meta-analysis. J Am Dent Assoc. 2018 Jul;149(7):640-649.e9. doi: 10.1016/j.adaj.2018.02.001. Epub 2018 May 4. </w:t>
      </w:r>
      <w:r>
        <w:t>PubMed PMID: 29735163</w:t>
      </w:r>
    </w:p>
    <w:p w14:paraId="5E030000">
      <w:pPr>
        <w:pStyle w:val="Style_6"/>
        <w:widowControl w:val="1"/>
        <w:numPr>
          <w:ilvl w:val="0"/>
          <w:numId w:val="13"/>
        </w:numPr>
        <w:ind w:hanging="709" w:left="993"/>
      </w:pPr>
      <w:r>
        <w:t xml:space="preserve">Zou H, Wang Y, Zhang H, Shen J, Liu H. [An overview on rubber dam application in dental treatments]. Zhonghua Kou Qiang Yi Xue Za Zhi. 2016 Feb;51(2):119-23.doi: 10.3760/cma.j.issn.1002-0098.2016.02.011. </w:t>
      </w:r>
      <w:r>
        <w:t>Review. Chinese. PubMed PMID:26926198.</w:t>
      </w:r>
    </w:p>
    <w:p w14:paraId="5F030000">
      <w:pPr>
        <w:pStyle w:val="Style_6"/>
        <w:widowControl w:val="1"/>
        <w:numPr>
          <w:ilvl w:val="0"/>
          <w:numId w:val="13"/>
        </w:numPr>
        <w:ind w:hanging="709" w:left="993"/>
      </w:pPr>
      <w:r>
        <w:t xml:space="preserve">Keys W, Carson SJ. Rubber dam may increase the survival time of dental restorations. </w:t>
      </w:r>
      <w:r>
        <w:t>Evid Based Dent. 2017 Mar;18(1):19-20. doi: 10.1038/sj.ebd.6401221. PubMed PMID: 28338026.</w:t>
      </w:r>
    </w:p>
    <w:p w14:paraId="60030000">
      <w:pPr>
        <w:pStyle w:val="Style_6"/>
        <w:widowControl w:val="1"/>
        <w:numPr>
          <w:ilvl w:val="0"/>
          <w:numId w:val="13"/>
        </w:numPr>
        <w:ind w:hanging="709" w:left="993"/>
      </w:pPr>
      <w:r>
        <w:t xml:space="preserve">Wang Y, Li C, Yuan H, Wong MC, Zou J, Shi Z, Zhou X. Rubber dam isolation for  restorative treatment in dental patients. Cochrane Database Syst Rev. 2016 Sep </w:t>
      </w:r>
      <w:r>
        <w:t xml:space="preserve">20;9:CD009858. doi: 10.1002/14651858.CD009858.pub2. Review. </w:t>
      </w:r>
      <w:r>
        <w:t>PubMed PMID: 27648846; PubMed Central PMCID: PMC6457832.</w:t>
      </w:r>
    </w:p>
    <w:p w14:paraId="61030000">
      <w:pPr>
        <w:pStyle w:val="Style_6"/>
        <w:widowControl w:val="1"/>
        <w:numPr>
          <w:ilvl w:val="0"/>
          <w:numId w:val="13"/>
        </w:numPr>
        <w:ind w:hanging="709" w:left="993"/>
      </w:pPr>
      <w:r>
        <w:t>Gilbert GH, Litaker MS, Pihlstrom DJ, Amundson CW, Gordan VV; DPBRN Collaborative Group. Rubber dam use during routine operative dentistry procedures: findings from the Dental PBRN. Oper Dent. 2010 Sep-Oct;35(5):491-9. doi: 10.2341/09-287C. PubMed PMID: 20945739; PubMed Central PMCID: PMC2957301.</w:t>
      </w:r>
    </w:p>
    <w:p w14:paraId="62030000">
      <w:pPr>
        <w:pStyle w:val="Style_6"/>
        <w:widowControl w:val="1"/>
        <w:numPr>
          <w:ilvl w:val="0"/>
          <w:numId w:val="13"/>
        </w:numPr>
        <w:ind w:hanging="709" w:left="993"/>
      </w:pPr>
      <w:r>
        <w:t xml:space="preserve">Wang YC, Lin IH, Huang CH, Fan SZ. Dental anesthesia for patients with special needs. Acta Anaesthesiol Taiwan. 2012 Sep;50(3):122-5. doi: 10.1016/j.aat.2012.08.009. Epub 2012 Sep 13. Review. </w:t>
      </w:r>
      <w:r>
        <w:t>PubMed PMID: 23026171.</w:t>
      </w:r>
    </w:p>
    <w:p w14:paraId="63030000">
      <w:pPr>
        <w:pStyle w:val="Style_6"/>
        <w:widowControl w:val="1"/>
        <w:numPr>
          <w:ilvl w:val="0"/>
          <w:numId w:val="13"/>
        </w:numPr>
        <w:ind w:hanging="709" w:left="993"/>
      </w:pPr>
      <w:r>
        <w:t xml:space="preserve">Nizharadze N, Mamaladze M, Chipashvili N, Vadachkoria D. Articaine - the best  choice of local anesthetic in contemporary dentistry. </w:t>
      </w:r>
      <w:r>
        <w:t>Georgian Med News. 2011 Jan;(190):15-23. Review. PubMed PMID: 21346262.</w:t>
      </w:r>
    </w:p>
    <w:p w14:paraId="64030000">
      <w:pPr>
        <w:pStyle w:val="Style_6"/>
        <w:widowControl w:val="1"/>
        <w:numPr>
          <w:ilvl w:val="0"/>
          <w:numId w:val="13"/>
        </w:numPr>
        <w:ind w:hanging="709" w:left="993"/>
      </w:pPr>
      <w:r>
        <w:t>Solow RA. Local anesthesia for restorative dentistry. Gen Dent. 2014 Nov-Dec;62(6):18-20. PubMed PMID: 25369379.</w:t>
      </w:r>
    </w:p>
    <w:p w14:paraId="65030000">
      <w:pPr>
        <w:pStyle w:val="Style_6"/>
        <w:widowControl w:val="1"/>
        <w:numPr>
          <w:ilvl w:val="0"/>
          <w:numId w:val="13"/>
        </w:numPr>
        <w:ind w:hanging="709" w:left="993"/>
      </w:pPr>
      <w:r>
        <w:t xml:space="preserve">Giovannitti JA Jr, Rosenberg MB, Phero JC. Pharmacology of local anesthetics used in oral surgery. Oral Maxillofac Surg Clin North Am. 2013 Aug;25(3):453-65, vi. doi: 10.1016/j.coms.2013.03.003. </w:t>
      </w:r>
      <w:r>
        <w:t>Epub 2013 May 7. Review. PubMed PMID: 23660127.</w:t>
      </w:r>
    </w:p>
    <w:p w14:paraId="66030000">
      <w:pPr>
        <w:pStyle w:val="Style_6"/>
        <w:widowControl w:val="1"/>
        <w:numPr>
          <w:ilvl w:val="0"/>
          <w:numId w:val="13"/>
        </w:numPr>
        <w:ind w:hanging="709" w:left="993"/>
      </w:pPr>
      <w:r>
        <w:t>Анисимова Е.Н., Васильев Ю.Л., Олейникова Е.В., Букенгольц А.А. Разработка способа обезболивания моляров нижней челюсти при лечении кариеса и его осложнений. Эндодонтия Today. 2011. № 4. С. 64-67.</w:t>
      </w:r>
    </w:p>
    <w:p w14:paraId="67030000">
      <w:pPr>
        <w:pStyle w:val="Style_6"/>
        <w:widowControl w:val="1"/>
        <w:numPr>
          <w:ilvl w:val="0"/>
          <w:numId w:val="13"/>
        </w:numPr>
        <w:ind w:hanging="709" w:left="993"/>
      </w:pPr>
      <w:r>
        <w:t>Анисимова Е.Н., Голикова А.М., Фадеева Д.Ю., Анисимова Н.Ю. Выбор препарата для обезболивания и материала для реставрации при лечении кариеса дентина у беременных женщин. Институт стоматологии. 2019. № 1 (82). С. 40-41.</w:t>
      </w:r>
    </w:p>
    <w:p w14:paraId="68030000">
      <w:pPr>
        <w:pStyle w:val="Style_6"/>
        <w:widowControl w:val="1"/>
        <w:numPr>
          <w:ilvl w:val="0"/>
          <w:numId w:val="13"/>
        </w:numPr>
        <w:ind w:hanging="709" w:left="993"/>
      </w:pPr>
      <w:r>
        <w:t>Луцкая И.К., Чухрай И.Г., Марченко Е.И., Новак Н.В., Андреева В.А. Современные препараты для местной анестезии в стоматологии. Рецепт. 2011. № 5 (79). С. 87-100.</w:t>
      </w:r>
    </w:p>
    <w:p w14:paraId="69030000">
      <w:pPr>
        <w:pStyle w:val="Style_6"/>
        <w:widowControl w:val="1"/>
        <w:numPr>
          <w:ilvl w:val="0"/>
          <w:numId w:val="13"/>
        </w:numPr>
        <w:ind w:hanging="709" w:left="993"/>
      </w:pPr>
      <w:r>
        <w:t>Рабинович С.А., Васильев Ю.Л., Цыбулькин А.Г., Кузин А.Н. Оценка потребности в проведении местной анестезии на амбулаторном стоматологическом приеме. Клиническая стоматология. 2011. № 3 (59). С. 18-20.</w:t>
      </w:r>
    </w:p>
    <w:p w14:paraId="6A030000">
      <w:pPr>
        <w:pStyle w:val="Style_6"/>
        <w:widowControl w:val="1"/>
        <w:numPr>
          <w:ilvl w:val="0"/>
          <w:numId w:val="13"/>
        </w:numPr>
        <w:ind w:hanging="709" w:left="993"/>
      </w:pPr>
      <w:r>
        <w:t>Рабинович С.А., Московец О.Н. Современные технологии местного обезболивания в стоматологии. Боль. 2004. № 4 (5). С. 3-10.</w:t>
      </w:r>
    </w:p>
    <w:p w14:paraId="6B030000">
      <w:pPr>
        <w:pStyle w:val="Style_6"/>
        <w:widowControl w:val="1"/>
        <w:numPr>
          <w:ilvl w:val="0"/>
          <w:numId w:val="13"/>
        </w:numPr>
        <w:ind w:hanging="709" w:left="993"/>
      </w:pPr>
      <w:r>
        <w:t>Рабинович С.А., Васильев Ю.Л. Современные способы и инструменты местного обезболивания в амбулаторной стоматологии</w:t>
      </w:r>
      <w:r>
        <w:t>. 2010. № 2. С. 34-35.</w:t>
      </w:r>
    </w:p>
    <w:p w14:paraId="6C030000">
      <w:pPr>
        <w:pStyle w:val="Style_6"/>
        <w:widowControl w:val="1"/>
        <w:numPr>
          <w:ilvl w:val="0"/>
          <w:numId w:val="13"/>
        </w:numPr>
        <w:ind w:hanging="709" w:left="993"/>
      </w:pPr>
      <w:r>
        <w:t>Рабинович С.А., Зорян Е.В., Заводиленко Л.А., Васильев Ю.Л. Безопасное обезболивание в стоматологии. Москва, 2018. – 160с.</w:t>
      </w:r>
    </w:p>
    <w:p w14:paraId="6D030000">
      <w:pPr>
        <w:pStyle w:val="Style_6"/>
        <w:widowControl w:val="1"/>
        <w:numPr>
          <w:ilvl w:val="0"/>
          <w:numId w:val="13"/>
        </w:numPr>
        <w:ind w:hanging="709" w:left="993"/>
      </w:pPr>
      <w:r>
        <w:t>Проблемы безопасности местной анестезии в стоматологии: учеб. пособие для системы послевуз. проф. образования врачей / С. А. Рабинович, О. Н. Московец, М. В. Лукьянов [и др.]. Москва, 2004.</w:t>
      </w:r>
    </w:p>
    <w:p w14:paraId="6E030000">
      <w:pPr>
        <w:pStyle w:val="Style_6"/>
        <w:widowControl w:val="1"/>
        <w:numPr>
          <w:ilvl w:val="0"/>
          <w:numId w:val="13"/>
        </w:numPr>
        <w:ind w:hanging="709" w:left="993"/>
      </w:pPr>
      <w:r>
        <w:t>Вебер В.Р., Мороз Б.Т. Местная анестезия у стоматологических пациентов с сопутствующей патологией: Учебное пособоие. – СПб.: Человек, 2004. – 80с.</w:t>
      </w:r>
    </w:p>
    <w:p w14:paraId="6F030000">
      <w:pPr>
        <w:pStyle w:val="Style_6"/>
        <w:widowControl w:val="1"/>
        <w:numPr>
          <w:ilvl w:val="0"/>
          <w:numId w:val="13"/>
        </w:numPr>
        <w:ind w:hanging="709" w:left="993"/>
      </w:pPr>
      <w:r>
        <w:t xml:space="preserve">Perrin P, Eichenberger M, Neuhaus KW, Lussi A. Visual acuity and magnification devices in dentistry. </w:t>
      </w:r>
      <w:r>
        <w:t>Swiss Dent J. 2016;126(3):222-235. English, German. PubMed PMID: 27023468.</w:t>
      </w:r>
    </w:p>
    <w:p w14:paraId="70030000">
      <w:pPr>
        <w:pStyle w:val="Style_6"/>
        <w:widowControl w:val="1"/>
        <w:numPr>
          <w:ilvl w:val="0"/>
          <w:numId w:val="13"/>
        </w:numPr>
        <w:ind w:hanging="709" w:left="993"/>
      </w:pPr>
      <w:r>
        <w:t xml:space="preserve">Browet S, Gerdolle D. Precision and security in restorative dentistry: the synergy of isolation and magnification. </w:t>
      </w:r>
      <w:r>
        <w:t>Int J Esthet Dent. 2017;12(2):172-185. PubMed PMID: 28653049.</w:t>
      </w:r>
    </w:p>
    <w:p w14:paraId="71030000">
      <w:pPr>
        <w:pStyle w:val="Style_6"/>
        <w:widowControl w:val="1"/>
        <w:numPr>
          <w:ilvl w:val="0"/>
          <w:numId w:val="13"/>
        </w:numPr>
        <w:ind w:hanging="709" w:left="993"/>
      </w:pPr>
      <w:r>
        <w:t>Eichenberger M, Perrin P, Ramseyer ST, Lussi A. Visual Acuity and Experience with Magnification Devices in Swiss Dental Practices. Oper Dent. 2015 Jul-Aug;40(4):E142-9. doi: 10.2341/14-103-C. Epub 2015 Mar 6. PubMed PMID: 25748209.</w:t>
      </w:r>
    </w:p>
    <w:p w14:paraId="72030000">
      <w:pPr>
        <w:pStyle w:val="Style_6"/>
        <w:widowControl w:val="1"/>
        <w:numPr>
          <w:ilvl w:val="0"/>
          <w:numId w:val="13"/>
        </w:numPr>
        <w:ind w:hanging="709" w:left="993"/>
      </w:pPr>
      <w:r>
        <w:t>Eichenberger M, Biner N, Amato M, Lussi A, Perrin P. Effect of Magnification on the Precision of Tooth Preparation in Dentistry. Oper Dent. 2018 Sep/Oct;43(5):501-507. doi: 10.2341/17-169-C. Epub 2018 Mar 7. PubMed PMID: 29513642.</w:t>
      </w:r>
    </w:p>
    <w:p w14:paraId="73030000">
      <w:pPr>
        <w:pStyle w:val="Style_6"/>
        <w:widowControl w:val="1"/>
        <w:numPr>
          <w:ilvl w:val="0"/>
          <w:numId w:val="13"/>
        </w:numPr>
        <w:ind w:hanging="709" w:left="993"/>
      </w:pPr>
      <w:r>
        <w:t xml:space="preserve">Christensen GJ. Magnification in dentistry: useful tool or another gimmick? </w:t>
      </w:r>
      <w:r>
        <w:t>J Am Dent Assoc. 2003 Dec;134(12):1647-50. PubMed PMID: 14719762.</w:t>
      </w:r>
    </w:p>
    <w:p w14:paraId="74030000">
      <w:pPr>
        <w:pStyle w:val="Style_6"/>
        <w:widowControl w:val="1"/>
        <w:numPr>
          <w:ilvl w:val="0"/>
          <w:numId w:val="13"/>
        </w:numPr>
        <w:ind w:hanging="709" w:left="993"/>
      </w:pPr>
      <w:r>
        <w:t xml:space="preserve">Corbella S, Taschieri S, Cavalli N, Francetti L. Comparative evaluation of the use of magnification loupes in supragingival scaling procedures. J Investig Clin Dent. 2018 May;9(2):e12315. doi: 10.1111/jicd.12315. Epub 2018 Jan 10. </w:t>
      </w:r>
      <w:r>
        <w:t>PubMed PMID: 29322638.</w:t>
      </w:r>
    </w:p>
    <w:p w14:paraId="75030000">
      <w:pPr>
        <w:pStyle w:val="Style_6"/>
        <w:widowControl w:val="1"/>
        <w:numPr>
          <w:ilvl w:val="0"/>
          <w:numId w:val="13"/>
        </w:numPr>
        <w:ind w:hanging="709" w:left="993"/>
      </w:pPr>
      <w:r>
        <w:t xml:space="preserve">Forgie AH, Pine CM, Longbottom C, Pitts NB. The use of magnification in general dental practice in Scotland--a survey report. </w:t>
      </w:r>
      <w:r>
        <w:t>J Dent. 1999 Sep;27(7):497-502. PubMed PMID: 10507205.</w:t>
      </w:r>
    </w:p>
    <w:p w14:paraId="76030000">
      <w:pPr>
        <w:pStyle w:val="Style_6"/>
        <w:widowControl w:val="1"/>
        <w:numPr>
          <w:ilvl w:val="0"/>
          <w:numId w:val="13"/>
        </w:numPr>
        <w:ind w:hanging="709" w:left="993"/>
      </w:pPr>
      <w:r>
        <w:t xml:space="preserve">Mamoun JS. A rationale for the use of high-powered magnification or microscopes in general dentistry. </w:t>
      </w:r>
      <w:r>
        <w:t>Gen Dent. 2009 Jan-Feb;57(1):18-26; quiz 27-8,  95-6. PubMed PMID: 19146139.</w:t>
      </w:r>
    </w:p>
    <w:p w14:paraId="77030000">
      <w:pPr>
        <w:pStyle w:val="Style_6"/>
        <w:widowControl w:val="1"/>
        <w:numPr>
          <w:ilvl w:val="0"/>
          <w:numId w:val="13"/>
        </w:numPr>
        <w:ind w:hanging="709" w:left="993"/>
      </w:pPr>
      <w:r>
        <w:t xml:space="preserve">Sunell S, Rucker L. Surgical magnification in dental hygiene practice. </w:t>
      </w:r>
      <w:r>
        <w:t>Int J Dent Hyg. 2004 Feb;2(1):26-35. PubMed PMID: 16451449.</w:t>
      </w:r>
    </w:p>
    <w:p w14:paraId="78030000">
      <w:pPr>
        <w:pStyle w:val="Style_6"/>
        <w:widowControl w:val="1"/>
        <w:numPr>
          <w:ilvl w:val="0"/>
          <w:numId w:val="13"/>
        </w:numPr>
        <w:ind w:hanging="709" w:left="993"/>
      </w:pPr>
      <w:r>
        <w:t xml:space="preserve">Mandinić Z, Vulićević ZR, Beloica M, Radović I, Mandić J, Carević M, Tekić J.  [The application of air abrasion in dentistry]. Srp Arh Celok Lek. 2014 Jan-Feb;142(1-2):99-105. </w:t>
      </w:r>
      <w:r>
        <w:t>Serbian. PubMed PMID: 24684041.</w:t>
      </w:r>
    </w:p>
    <w:p w14:paraId="79030000">
      <w:pPr>
        <w:pStyle w:val="Style_6"/>
        <w:widowControl w:val="1"/>
        <w:numPr>
          <w:ilvl w:val="0"/>
          <w:numId w:val="13"/>
        </w:numPr>
        <w:ind w:hanging="709" w:left="993"/>
      </w:pPr>
      <w:r>
        <w:t xml:space="preserve">Khoroushi M, Eshghi A, Naderibeni F. Pit and Fissure Sealant Retention Following Air Abrasion Preparation with Bioactive Glass and Aluminum Oxide Particles. </w:t>
      </w:r>
      <w:r>
        <w:t>J Dent Child (Chic). 2016 Sep 15;83(3):132-138. PubMed PMID: 28327263.</w:t>
      </w:r>
    </w:p>
    <w:p w14:paraId="7A030000">
      <w:pPr>
        <w:pStyle w:val="Style_6"/>
        <w:widowControl w:val="1"/>
        <w:numPr>
          <w:ilvl w:val="0"/>
          <w:numId w:val="13"/>
        </w:numPr>
        <w:ind w:hanging="709" w:left="993"/>
      </w:pPr>
      <w:r>
        <w:t xml:space="preserve">Huang CT, Kim J, Arce C, Lawson NC. Intraoral Air Abrasion: A Review of Devices, Materials, Evidence, and Clinical Applications in Restorative Dentistry. </w:t>
      </w:r>
      <w:r>
        <w:t>Compend Contin Educ Dent. 2019 Sep;40(8):508-513; quiz 514. Review. PubMed PMID: 31478697.</w:t>
      </w:r>
    </w:p>
    <w:p w14:paraId="7B030000">
      <w:pPr>
        <w:pStyle w:val="Style_6"/>
        <w:widowControl w:val="1"/>
        <w:numPr>
          <w:ilvl w:val="0"/>
          <w:numId w:val="13"/>
        </w:numPr>
        <w:ind w:hanging="709" w:left="993"/>
      </w:pPr>
      <w:r>
        <w:t>Anja B, Walter D, Nicoletta C, Marco F, Pezelj Ribarić S, Ivana M. Influence of air abrasion and sonic technique on microtensile bond strength of one-step self-etch adhesive on human dentin. ScientificWorldJournal. 2015;2015:368745. doi: 10.1155/2015/368745. Epub 2015 Mar 23. PubMed PMID: 25879053; PubMed Central PMCID: PMC4386705.</w:t>
      </w:r>
    </w:p>
    <w:p w14:paraId="7C030000">
      <w:pPr>
        <w:pStyle w:val="Style_6"/>
        <w:widowControl w:val="1"/>
        <w:numPr>
          <w:ilvl w:val="0"/>
          <w:numId w:val="13"/>
        </w:numPr>
        <w:ind w:hanging="709" w:left="993"/>
      </w:pPr>
      <w:r>
        <w:t>Banerjee A, Watson TF. Air abrasion: its uses and abuses. Dent Update. 2002 Sep;29(7):340-6. Review. PubMed PMID: 12369307.</w:t>
      </w:r>
    </w:p>
    <w:p w14:paraId="7D030000">
      <w:pPr>
        <w:pStyle w:val="Style_6"/>
        <w:widowControl w:val="1"/>
        <w:numPr>
          <w:ilvl w:val="0"/>
          <w:numId w:val="13"/>
        </w:numPr>
        <w:ind w:hanging="709" w:left="993"/>
      </w:pPr>
      <w:r>
        <w:t xml:space="preserve">Berry EA 3rd, Eakle WS, Summitt JB. Air abrasion: an old technology reborn. </w:t>
      </w:r>
      <w:r>
        <w:t>Compend Contin Educ Dent. 1999 Aug;20(8):751-4, 756, 758-9 passim; quiz 764. PubMed PMID: 10649950.</w:t>
      </w:r>
    </w:p>
    <w:p w14:paraId="7E030000">
      <w:pPr>
        <w:pStyle w:val="Style_6"/>
        <w:widowControl w:val="1"/>
        <w:numPr>
          <w:ilvl w:val="0"/>
          <w:numId w:val="13"/>
        </w:numPr>
        <w:ind w:hanging="709" w:left="993"/>
      </w:pPr>
      <w:r>
        <w:t xml:space="preserve">Tao S, Li L, Yuan H, Tao S, Cheng Y, He L, Li J. Erbium Laser Technology vs Traditional Drilling for Caries Removal: A Systematic Review with Meta-Analysis. J Evid Based Dent Pract. 2017 Dec;17(4):324-334. doi: 10.1016/j.jebdp.2017.05.004. Epub 2017 May 18. </w:t>
      </w:r>
      <w:r>
        <w:t>Review. PubMed PMID: 29197434.</w:t>
      </w:r>
    </w:p>
    <w:p w14:paraId="7F030000">
      <w:pPr>
        <w:pStyle w:val="Style_6"/>
        <w:widowControl w:val="1"/>
        <w:numPr>
          <w:ilvl w:val="0"/>
          <w:numId w:val="13"/>
        </w:numPr>
        <w:ind w:hanging="709" w:left="993"/>
      </w:pPr>
      <w:r>
        <w:t>Valério RA, Borsatto MC, Serra MC, Polizeli SA, Nemezio MA, Galo R, Aires CP,  Dos Santos AC, Corona SA. Caries removal in deciduous teeth using an Er:YAG laser: a randomized split-mouth clinical trial. Clin Oral Investig. 2016 Jan;20(1):65-73. doi: 10.1007/s00784-015-1470-z. Epub 2015 Apr 17. PubMed PMID: 25877234.</w:t>
      </w:r>
    </w:p>
    <w:p w14:paraId="80030000">
      <w:pPr>
        <w:pStyle w:val="Style_6"/>
        <w:widowControl w:val="1"/>
        <w:numPr>
          <w:ilvl w:val="0"/>
          <w:numId w:val="13"/>
        </w:numPr>
        <w:ind w:hanging="709" w:left="993"/>
      </w:pPr>
      <w:r>
        <w:t>Beloica M, Vulićević ZR, Mandinić Z, Radović I, Jovicić O, Carević M, Tekić J. [Hard dental tissue minimal-invasive preparation using contemporary polymer rotating instruments and laser]. Srp Arh Celok Lek. 2014 May-Jun;142(5-6):365-70. Review. Serbian. PubMed PMID: 25033597.</w:t>
      </w:r>
    </w:p>
    <w:p w14:paraId="81030000">
      <w:pPr>
        <w:pStyle w:val="Style_6"/>
        <w:widowControl w:val="1"/>
        <w:numPr>
          <w:ilvl w:val="0"/>
          <w:numId w:val="13"/>
        </w:numPr>
        <w:ind w:hanging="709" w:left="993"/>
      </w:pPr>
      <w:r>
        <w:t xml:space="preserve">Martens LC. Laser physics and a review of laser applications in dentistry for  children. </w:t>
      </w:r>
      <w:r>
        <w:t>Eur Arch Paediatr Dent. 2011 Apr;12(2):61-7. Review. PubMed PMID: 21473835.</w:t>
      </w:r>
    </w:p>
    <w:p w14:paraId="82030000">
      <w:pPr>
        <w:pStyle w:val="Style_6"/>
        <w:widowControl w:val="1"/>
        <w:numPr>
          <w:ilvl w:val="0"/>
          <w:numId w:val="13"/>
        </w:numPr>
        <w:ind w:hanging="709" w:left="993"/>
      </w:pPr>
      <w:r>
        <w:t xml:space="preserve">Jorge AC, Cassoni A, de Freitas PM, Reis AF, Brugnera Junior A, Rodrigues JA. Influence of cavity preparation with Er,Cr:YSGG laser and restorative materials on in situ secondary caries development. Photomed Laser Surg. 2015 Feb;33(2):98-103. doi: </w:t>
      </w:r>
      <w:r>
        <w:t>10.1089/pho.2014.3815. Epub 2015 Feb 5. PubMed PMID: 25654424; PubMed Central PMCID: PMC4340635.</w:t>
      </w:r>
    </w:p>
    <w:p w14:paraId="83030000">
      <w:pPr>
        <w:pStyle w:val="Style_6"/>
        <w:widowControl w:val="1"/>
        <w:numPr>
          <w:ilvl w:val="0"/>
          <w:numId w:val="13"/>
        </w:numPr>
        <w:ind w:hanging="709" w:left="993"/>
      </w:pPr>
      <w:r>
        <w:t>Mosskull Hjertton P, Bågesund M. Er:YAG laser or high-speed bur for cavity preparation in adolescents. Acta Odontol Scand. 2013 May-Jul;71(3-4):610-5. doi:  10.3109/00016357.2012.700064. Epub 2012 Aug 17. PubMed PMID: 22897594.</w:t>
      </w:r>
    </w:p>
    <w:p w14:paraId="84030000">
      <w:pPr>
        <w:pStyle w:val="Style_6"/>
        <w:widowControl w:val="1"/>
        <w:numPr>
          <w:ilvl w:val="0"/>
          <w:numId w:val="13"/>
        </w:numPr>
        <w:ind w:hanging="709" w:left="993"/>
      </w:pPr>
      <w:r>
        <w:t>Rasmy AHM, Harhash TA, Ghali RMS, El Maghraby EMF, El Rouby DH. Comparative study between laser and conventional techniques for class V cavity preparation in gamma-irradiated teeth (in vitro study). J Appl Oral Sci. 2017 Nov-Dec;25(6):657-665. doi: 10.1590/1678-7757-2016-0663. PubMed PMID: 29211287; PubMed Central PMCID: PMC5701536.</w:t>
      </w:r>
    </w:p>
    <w:p w14:paraId="85030000">
      <w:pPr>
        <w:pStyle w:val="Style_6"/>
        <w:widowControl w:val="1"/>
        <w:numPr>
          <w:ilvl w:val="0"/>
          <w:numId w:val="13"/>
        </w:numPr>
        <w:ind w:hanging="709" w:left="993"/>
      </w:pPr>
      <w:r>
        <w:t xml:space="preserve">Wong YJ. Caries removal using lasers. Evid Based Dent. 2018 Jun;19(2):45. doi: 10.1038/sj.ebd.6401303. </w:t>
      </w:r>
      <w:r>
        <w:t>Review. PubMed PMID: 29930363.</w:t>
      </w:r>
    </w:p>
    <w:p w14:paraId="86030000">
      <w:pPr>
        <w:pStyle w:val="Style_6"/>
        <w:widowControl w:val="1"/>
        <w:numPr>
          <w:ilvl w:val="0"/>
          <w:numId w:val="13"/>
        </w:numPr>
        <w:ind w:hanging="709" w:left="993"/>
      </w:pPr>
      <w:r>
        <w:t xml:space="preserve">Tassery H, Levallois B, Terrer E, Manton DJ, Otsuki M, Koubi S, Gugnani N, Panayotov I, Jacquot B, Cuisinier F, Rechmann P. Use of new minimum intervention  dentistry technologies in caries management. </w:t>
      </w:r>
      <w:r>
        <w:t>Aust Dent J. 2013 Jun;58 Suppl 1:40-59. doi: 10.1111/adj.12049. PubMed PMID: 23721337.</w:t>
      </w:r>
    </w:p>
    <w:p w14:paraId="87030000">
      <w:pPr>
        <w:pStyle w:val="Style_6"/>
        <w:widowControl w:val="1"/>
        <w:numPr>
          <w:ilvl w:val="0"/>
          <w:numId w:val="13"/>
        </w:numPr>
        <w:ind w:hanging="709" w:left="993"/>
      </w:pPr>
      <w:r>
        <w:t xml:space="preserve">Khan S, Voraragsa S, Cunningham R, Brown N, Caufield PW. Conservative Management of Dental Caries Using Silver Nitrate and Atraumatic Restorative Treatment in Remote Rural Setting. </w:t>
      </w:r>
      <w:r>
        <w:t>N Y State Dent J. 2017 Apr;83(3):16-21. PubMed PMID: 29924518.</w:t>
      </w:r>
    </w:p>
    <w:p w14:paraId="88030000">
      <w:pPr>
        <w:pStyle w:val="Style_6"/>
        <w:widowControl w:val="1"/>
        <w:numPr>
          <w:ilvl w:val="0"/>
          <w:numId w:val="13"/>
        </w:numPr>
        <w:ind w:hanging="709" w:left="993"/>
      </w:pPr>
      <w:r>
        <w:t>Gonçalves CF, E Silva MV, Costa LR, de Toledo OA. One-year follow-up of Atraumatic Restorative Treatment(ART) for dental caries in children undergoing oncohematological treatment: a pragmatic trial. BMC Oral Health. 2015 Oct 16;15(1):127. doi: 10.1186/s12903-015-0110-y. PubMed PMID: 26475714; PubMed Central PMCID: PMC4609041.</w:t>
      </w:r>
    </w:p>
    <w:p w14:paraId="89030000">
      <w:pPr>
        <w:pStyle w:val="Style_6"/>
        <w:widowControl w:val="1"/>
        <w:numPr>
          <w:ilvl w:val="0"/>
          <w:numId w:val="13"/>
        </w:numPr>
        <w:ind w:hanging="709" w:left="993"/>
      </w:pPr>
      <w:r>
        <w:t xml:space="preserve">Smales RJ, Fang DT. In vitro effectiveness of hand excavation of caries with the ART technique. </w:t>
      </w:r>
      <w:r>
        <w:t>Atraumatic restorative treatment. Caries Res. 1999 Nov-Dec;33(6):437-40. PubMed PMID: 10529528.</w:t>
      </w:r>
    </w:p>
    <w:p w14:paraId="8A030000">
      <w:pPr>
        <w:pStyle w:val="Style_6"/>
        <w:widowControl w:val="1"/>
        <w:numPr>
          <w:ilvl w:val="0"/>
          <w:numId w:val="13"/>
        </w:numPr>
        <w:ind w:hanging="709" w:left="993"/>
      </w:pPr>
      <w:r>
        <w:t xml:space="preserve">Smales RJ, Yip HK. The atraumatic restorative treatment (ART) approach for the management of dental caries. </w:t>
      </w:r>
      <w:r>
        <w:t>Quintessence Int. 2002 Jun;33(6):427-32. Review. PubMed PMID: 12073723.</w:t>
      </w:r>
    </w:p>
    <w:p w14:paraId="8B030000">
      <w:pPr>
        <w:pStyle w:val="Style_6"/>
        <w:widowControl w:val="1"/>
        <w:numPr>
          <w:ilvl w:val="0"/>
          <w:numId w:val="13"/>
        </w:numPr>
        <w:ind w:hanging="709" w:left="993"/>
      </w:pPr>
      <w:r>
        <w:t xml:space="preserve">Holmgren CJ, Frencken JE. Painting the future for ART. Community Dent Oral Epidemiol. 1999 Dec;27(6):449-53. </w:t>
      </w:r>
      <w:r>
        <w:t>Review. PubMed PMID: 10600080.</w:t>
      </w:r>
    </w:p>
    <w:p w14:paraId="8C030000">
      <w:pPr>
        <w:pStyle w:val="Style_6"/>
        <w:widowControl w:val="1"/>
        <w:numPr>
          <w:ilvl w:val="0"/>
          <w:numId w:val="13"/>
        </w:numPr>
        <w:ind w:hanging="709" w:left="993"/>
      </w:pPr>
      <w:r>
        <w:t xml:space="preserve">Jawa D, Singh S, Somani R, Jaidka S, Sirkar K, Jaidka R. Comparative evaluation of the efficacy of chemomechanical caries removal agent (Papacarie) and conventional </w:t>
      </w:r>
      <w:r>
        <w:t>method of caries removal: an in vitro study. J Indian Soc Pedod Prev Dent. 2010 Apr-Jun;28(2):73-7. doi: 10.4103/0970-4388.66739. PubMed PMID:20660971.</w:t>
      </w:r>
    </w:p>
    <w:p w14:paraId="8D030000">
      <w:pPr>
        <w:pStyle w:val="Style_6"/>
        <w:widowControl w:val="1"/>
        <w:numPr>
          <w:ilvl w:val="0"/>
          <w:numId w:val="13"/>
        </w:numPr>
        <w:ind w:hanging="709" w:left="993"/>
      </w:pPr>
      <w:r>
        <w:t xml:space="preserve">Czarnecka B, Limanowska Shaw H, Nicholson JW. Microscopic evaluation of the interface between glass-ionomer cements and tooth structures prepared using conventional instruments and the atraumatic restorative treatment (ART) technique. </w:t>
      </w:r>
      <w:r>
        <w:t>Quintessence Int. 2006 Jul-Aug;37(7):557-64. PubMed PMID: 16841604.</w:t>
      </w:r>
    </w:p>
    <w:p w14:paraId="8E030000">
      <w:pPr>
        <w:pStyle w:val="Style_6"/>
        <w:widowControl w:val="1"/>
        <w:numPr>
          <w:ilvl w:val="0"/>
          <w:numId w:val="13"/>
        </w:numPr>
        <w:ind w:hanging="709" w:left="993"/>
      </w:pPr>
      <w:r>
        <w:t xml:space="preserve">Phonghanyudh A, Phantumvanit P, Songpaisan Y, Petersen PE. Clinical evaluation of three caries removal approaches in primary teeth: a randomised controlled trial. </w:t>
      </w:r>
      <w:r>
        <w:t>Community Dent Health. 2012 Jun;29(2):173-8. PubMed PMID: 22779380.</w:t>
      </w:r>
    </w:p>
    <w:p w14:paraId="8F030000">
      <w:pPr>
        <w:pStyle w:val="Style_6"/>
        <w:widowControl w:val="1"/>
        <w:numPr>
          <w:ilvl w:val="0"/>
          <w:numId w:val="13"/>
        </w:numPr>
        <w:ind w:hanging="709" w:left="993"/>
      </w:pPr>
      <w:r>
        <w:t xml:space="preserve">Dmitrova AG, Kulakov AA. [The atraumatic restorative treatment approach in pediatric dental care: a comparative clinical study]. </w:t>
      </w:r>
      <w:r>
        <w:t>Stomatologiia (Mosk). 2015;94(2):30-33. doi: 10.17116/stomat201594230-33. Russian. PubMed PMID: 26145474.</w:t>
      </w:r>
    </w:p>
    <w:p w14:paraId="90030000">
      <w:pPr>
        <w:pStyle w:val="Style_6"/>
        <w:widowControl w:val="1"/>
        <w:numPr>
          <w:ilvl w:val="0"/>
          <w:numId w:val="13"/>
        </w:numPr>
        <w:ind w:hanging="709" w:left="993"/>
      </w:pPr>
      <w:r>
        <w:t xml:space="preserve">Juntavee A, Juntavee N, Peerapattana J, Nualkaew N, Sutthisawat S. Comparison of Marginal Microleakage of Glass Ionomer Restorations in Primary Molars Prepared by Chemo-mechanical Caries Removal (CMCR), Erbium: Yttrium Aluminum-Garnet (Er:YAG) Laser and Atraumatic Restorative Technique (ART). Int J Clin Pediatr Dent. 2013 May;6(2):75-9. doi: 10.5005/jp-journals-10005-1193. Epub 2013 Aug 26. </w:t>
      </w:r>
      <w:r>
        <w:t>PubMed PMID: 25206196; PubMed Central PMCID: PMC4086587.</w:t>
      </w:r>
    </w:p>
    <w:p w14:paraId="91030000">
      <w:pPr>
        <w:pStyle w:val="Style_6"/>
        <w:widowControl w:val="1"/>
        <w:numPr>
          <w:ilvl w:val="0"/>
          <w:numId w:val="13"/>
        </w:numPr>
        <w:ind w:hanging="709" w:left="993"/>
      </w:pPr>
      <w:r>
        <w:t xml:space="preserve">Sadasiva K, Kumar KS, Rayar S, Shamini S, Unnikrishnan M, Kandaswamy D. Evaluation of the Efficacy of Visual, Tactile Method, Caries Detector Dye, and Laser Fluorescence in Removal of Dental Caries and Confirmation by Culture and Polymerase Chain Reaction: An In Vivo Study. J Pharm Bioallied Sci. 2019 May;11(Suppl 2):S146-S150. doi: 10.4103/JPBS.JPBS_279_18. </w:t>
      </w:r>
      <w:r>
        <w:t>PubMed PMID: 31198327;  PubMed Central PMCID: PMC6555321.</w:t>
      </w:r>
    </w:p>
    <w:p w14:paraId="92030000">
      <w:pPr>
        <w:pStyle w:val="Style_6"/>
        <w:widowControl w:val="1"/>
        <w:numPr>
          <w:ilvl w:val="0"/>
          <w:numId w:val="13"/>
        </w:numPr>
        <w:ind w:hanging="709" w:left="993"/>
      </w:pPr>
      <w:r>
        <w:t xml:space="preserve">McComb D. Caries-detector dyes--how accurate and useful are they? </w:t>
      </w:r>
      <w:r>
        <w:t>J Can Dent Assoc. 2000 Apr;66(4):195-8. Review. PubMed PMID: 10789171.</w:t>
      </w:r>
    </w:p>
    <w:p w14:paraId="93030000">
      <w:pPr>
        <w:pStyle w:val="Style_6"/>
        <w:widowControl w:val="1"/>
        <w:numPr>
          <w:ilvl w:val="0"/>
          <w:numId w:val="13"/>
        </w:numPr>
        <w:ind w:hanging="709" w:left="993"/>
      </w:pPr>
      <w:r>
        <w:t>Kobayashi M, Inagaki R, Ichikawa K, Niizuma Y, Morisaki H, Kuwata H, Manabe A, Miyazaki T. Effect of kinematic viscosity on the staining performance of caries detector dyes. Dent Mater J. 2019 Feb 8;38(1):120-126. doi: 10.4012/dmj.2017-083. Epub 2018 Oct 5. PubMed PMID: 30298855.</w:t>
      </w:r>
    </w:p>
    <w:p w14:paraId="94030000">
      <w:pPr>
        <w:pStyle w:val="Style_6"/>
        <w:widowControl w:val="1"/>
        <w:numPr>
          <w:ilvl w:val="0"/>
          <w:numId w:val="13"/>
        </w:numPr>
        <w:ind w:hanging="709" w:left="993"/>
      </w:pPr>
      <w:r>
        <w:t>Schwendicke F, Paris S, Tu YK. Effects of using different criteria for caries  removal: a systematic review and network meta-analysis. J Dent. 2015 Jan;43(1):1-15. doi: 10.1016/j.jdent.2014.10.004. Epub 2014 Oct 22. Review. PubMed PMID: 25456612.</w:t>
      </w:r>
    </w:p>
    <w:p w14:paraId="95030000">
      <w:pPr>
        <w:pStyle w:val="Style_6"/>
        <w:widowControl w:val="1"/>
        <w:numPr>
          <w:ilvl w:val="0"/>
          <w:numId w:val="13"/>
        </w:numPr>
        <w:ind w:hanging="709" w:left="993"/>
      </w:pPr>
      <w:r>
        <w:t xml:space="preserve">Rossi-Fedele G, Guastalli AR. Effect of an alcohol-based caries detector on the surface tension of sodium hypochlorite preparations. </w:t>
      </w:r>
      <w:r>
        <w:t>Braz Dent J. 2015 Jan-Feb;26(1):66-8. doi: 10.1590/0103-6440201300172. PubMed PMID: 25672387.</w:t>
      </w:r>
    </w:p>
    <w:p w14:paraId="96030000">
      <w:pPr>
        <w:pStyle w:val="Style_6"/>
        <w:widowControl w:val="1"/>
        <w:numPr>
          <w:ilvl w:val="0"/>
          <w:numId w:val="13"/>
        </w:numPr>
        <w:ind w:hanging="709" w:left="993"/>
      </w:pPr>
      <w:r>
        <w:t>Tunc ES, Sahin Z, Guler E, Bayrak S, Tuloglu N. Effectiveness of Different Cleaning Solutions in Removing Residual Caries-Detector Dyes. J Esthet Restor Dent. 2019 May;31(3):253-256. doi: 10.1111/jerd.12393. Epub 2018 Nov 1. PubMed PMID: 30387275.</w:t>
      </w:r>
    </w:p>
    <w:p w14:paraId="97030000">
      <w:pPr>
        <w:pStyle w:val="Style_6"/>
        <w:widowControl w:val="1"/>
        <w:numPr>
          <w:ilvl w:val="0"/>
          <w:numId w:val="13"/>
        </w:numPr>
        <w:ind w:hanging="709" w:left="993"/>
      </w:pPr>
      <w:r>
        <w:t>Javaheri M, Maleki-Kambakhsh S, Etemad-Moghadam Sh. Efficacy of two caries detector dyes in the diagnosis of dental caries. J Dent (Tehran). 2010 Spring;7(2):71-6. Epub 2010 Jun 30. PubMed PMID: 21998778; PubMed Central PMCID:  PMC3184748.</w:t>
      </w:r>
    </w:p>
    <w:p w14:paraId="98030000">
      <w:pPr>
        <w:pStyle w:val="Style_6"/>
        <w:widowControl w:val="1"/>
        <w:numPr>
          <w:ilvl w:val="0"/>
          <w:numId w:val="13"/>
        </w:numPr>
        <w:ind w:hanging="709" w:left="993"/>
      </w:pPr>
      <w:r>
        <w:t xml:space="preserve">Iwami Y, Hayashi N, Yamamoto H, Hayashi M, Takeshige F, Ebisu S. Evaluating the objectivity of caries removal with a caries detector dye using color evaluation and PCR. </w:t>
      </w:r>
      <w:r>
        <w:t>J Dent. 2007 Sep;35(9):749-54. Epub 2007 Aug 6. PubMed PMID: 17689167.</w:t>
      </w:r>
    </w:p>
    <w:p w14:paraId="99030000">
      <w:pPr>
        <w:pStyle w:val="Style_6"/>
        <w:widowControl w:val="1"/>
        <w:numPr>
          <w:ilvl w:val="0"/>
          <w:numId w:val="13"/>
        </w:numPr>
        <w:ind w:hanging="709" w:left="993"/>
      </w:pPr>
      <w:r>
        <w:t xml:space="preserve">Akbari M, Ahrari F, Jafari M. A comparative evaluation of DIAGNOdent and caries detector dye in detection of residual caries in prepared cavities. </w:t>
      </w:r>
      <w:r>
        <w:t>J Contemp Dent Pract. 2012 Jul 1;13(4):515-20. PubMed PMID: 23151702.</w:t>
      </w:r>
    </w:p>
    <w:p w14:paraId="9A030000">
      <w:pPr>
        <w:pStyle w:val="Style_6"/>
        <w:widowControl w:val="1"/>
        <w:numPr>
          <w:ilvl w:val="0"/>
          <w:numId w:val="13"/>
        </w:numPr>
        <w:ind w:hanging="709" w:left="993"/>
      </w:pPr>
      <w:r>
        <w:t xml:space="preserve">el-Housseiny AA, Jamjoum H. The effect of caries detector dyes and a cavity cleansing agent on composite resin bonding to enamel and dentin. </w:t>
      </w:r>
      <w:r>
        <w:t>J Clin Pediatr Dent. 2000 Fall;25(1):57-63. PubMed PMID: 11314354.</w:t>
      </w:r>
    </w:p>
    <w:p w14:paraId="9B030000">
      <w:pPr>
        <w:pStyle w:val="Style_6"/>
        <w:widowControl w:val="1"/>
        <w:numPr>
          <w:ilvl w:val="0"/>
          <w:numId w:val="13"/>
        </w:numPr>
        <w:ind w:hanging="709" w:left="993"/>
      </w:pPr>
      <w:r>
        <w:t xml:space="preserve">Almaz ME, Sönmez IŞ. Ozone therapy in the management and prevention of caries. J Formos Med Assoc. 2015 Jan;114(1):3-11. doi: 10.1016/j.jfma.2013.06.020. Epub 2013 Aug 19. </w:t>
      </w:r>
      <w:r>
        <w:t>Review. PubMed PMID: 23969041</w:t>
      </w:r>
    </w:p>
    <w:p w14:paraId="9C030000">
      <w:pPr>
        <w:pStyle w:val="Style_6"/>
        <w:widowControl w:val="1"/>
        <w:numPr>
          <w:ilvl w:val="0"/>
          <w:numId w:val="13"/>
        </w:numPr>
        <w:ind w:hanging="709" w:left="993"/>
      </w:pPr>
      <w:r>
        <w:t>Samuel SR, Dorai S, Khatri SG, Patil ST. Effect of ozone to remineralize initial enamel caries: in situ study. Clin Oral Investig. 2016 Jun;20(5):1109-13. doi: 10.1007/s00784-016-1710-x. Epub 2016 Jan 12. PubMed PMID: 26759338</w:t>
      </w:r>
    </w:p>
    <w:p w14:paraId="9D030000">
      <w:pPr>
        <w:pStyle w:val="Style_6"/>
        <w:widowControl w:val="1"/>
        <w:numPr>
          <w:ilvl w:val="0"/>
          <w:numId w:val="13"/>
        </w:numPr>
        <w:ind w:hanging="709" w:left="993"/>
      </w:pPr>
      <w:r>
        <w:t>Rickard GD, Richardson RJ, Johnson TM, McColl DC, Hooper L. WITHDRAWN: Ozone therapy for the treatment of dental caries. Cochrane Database Syst Rev. 2019 Feb 7;2:CD004153. doi: 10.1002/14651858.CD004153.pub3. PubMed PMID: 30731019; PubMed Central PMCID: PMC6366652</w:t>
      </w:r>
    </w:p>
    <w:p w14:paraId="9E030000">
      <w:pPr>
        <w:pStyle w:val="Style_6"/>
        <w:widowControl w:val="1"/>
        <w:numPr>
          <w:ilvl w:val="0"/>
          <w:numId w:val="13"/>
        </w:numPr>
        <w:ind w:hanging="709" w:left="993"/>
      </w:pPr>
      <w:r>
        <w:t xml:space="preserve">Cieplik F, Buchalla W, Hellwig E, Al-Ahmad A, Hiller KA, Maisch T, Karygianni L. Antimicrobial photodynamic therapy as an adjunct for treatment of deep carious lesions-A systematic review. Photodiagnosis Photodyn Ther. 2017 Jun;18:54-62. doi: 10.1016/j.pdpdt.2017.01.005. Epub 2017 Jan 15. Review. </w:t>
      </w:r>
      <w:r>
        <w:t>PubMed PMID: 28099873.</w:t>
      </w:r>
    </w:p>
    <w:p w14:paraId="9F030000">
      <w:pPr>
        <w:pStyle w:val="Style_6"/>
        <w:widowControl w:val="1"/>
        <w:numPr>
          <w:ilvl w:val="0"/>
          <w:numId w:val="13"/>
        </w:numPr>
        <w:ind w:hanging="709" w:left="993"/>
      </w:pPr>
      <w:r>
        <w:t>de Araújo Neto EV Jr, de Albuquerque Dias R. Use of antimicrobial photodynamic therapy in the conservative clinical management of caries lesions on a permanent tooth. Photodiagnosis Photodyn Ther. 2017 Dec;20:207-209. doi: 10.1016/j.pdpdt.2017.09.014. Epub 2017 Oct 3. PubMed PMID: 28986294.</w:t>
      </w:r>
    </w:p>
    <w:p w14:paraId="A0030000">
      <w:pPr>
        <w:pStyle w:val="Style_6"/>
        <w:widowControl w:val="1"/>
        <w:numPr>
          <w:ilvl w:val="0"/>
          <w:numId w:val="13"/>
        </w:numPr>
        <w:ind w:hanging="709" w:left="993"/>
      </w:pPr>
      <w:r>
        <w:t>Diniz IM, Horta ID, Azevedo CS, Elmadjian TR, Matos AB, Simionato MR, Marques MM. Antimicrobial photodynamic therapy: a promise candidate for caries lesions treatment. Photodiagnosis Photodyn Ther. 2015 Sep;12(3):511-8. doi: 10.1016/j.pdpdt.2015.04.006. Epub 2015 May 19. PubMed PMID: 26002012.</w:t>
      </w:r>
    </w:p>
    <w:p w14:paraId="A1030000">
      <w:pPr>
        <w:pStyle w:val="Style_6"/>
        <w:widowControl w:val="1"/>
        <w:numPr>
          <w:ilvl w:val="0"/>
          <w:numId w:val="13"/>
        </w:numPr>
        <w:ind w:hanging="709" w:left="993"/>
      </w:pPr>
      <w:r>
        <w:t>Cusicanqui Méndez DA, Gutierres E, José Dionisio E, Afonso Rabelo Buzalaf M, Cardoso Oliveira R, Andrade Moreira Machado MA, Cruvinel T. Curcumin-mediated antimicrobial photodynamic therapy reduces the viability and vitality of infected dentin caries microcosms. Photodiagnosis Photodyn Ther. 2018 Dec;24:102-108. doi: 10.1016/j.pdpdt.2018.09.007. Epub 2018 Sep 18. PubMed PMID: 30240927.</w:t>
      </w:r>
    </w:p>
    <w:p w14:paraId="A2030000">
      <w:pPr>
        <w:pStyle w:val="Style_6"/>
        <w:widowControl w:val="1"/>
        <w:numPr>
          <w:ilvl w:val="0"/>
          <w:numId w:val="13"/>
        </w:numPr>
        <w:ind w:hanging="709" w:left="993"/>
      </w:pPr>
      <w:r>
        <w:t>Gursoy H, Ozcakir-Tomruk C, Tanalp J, Yilmaz S. Photodynamic therapy in dentistry: a literature review. Clin Oral Investig. 2013 May;17(4):1113-25. doi:  10.1007/s00784-012-0845-7. Epub 2012 Sep 27. Review. PubMed PMID: 23015026.</w:t>
      </w:r>
    </w:p>
    <w:p w14:paraId="A3030000">
      <w:pPr>
        <w:pStyle w:val="Style_6"/>
        <w:widowControl w:val="1"/>
        <w:numPr>
          <w:ilvl w:val="0"/>
          <w:numId w:val="13"/>
        </w:numPr>
        <w:ind w:hanging="709" w:left="993"/>
      </w:pPr>
      <w:r>
        <w:t>Méndez DAC, Gutierrez E, Dionísio EJ, Oliveira TM, Buzalaf MAR, Rios D, Machado MAAM, Cruvinel T. Effect of methylene blue-mediated antimicrobial photodynamic therapy on dentin caries microcosms. Lasers Med Sci. 2018 Apr;33(3):479-487. doi: 10.1007/s10103-017-2379-3. Epub 2017 Nov 8. PubMed PMID: 29119417.</w:t>
      </w:r>
    </w:p>
    <w:p w14:paraId="A4030000">
      <w:pPr>
        <w:pStyle w:val="Style_6"/>
        <w:widowControl w:val="1"/>
        <w:numPr>
          <w:ilvl w:val="0"/>
          <w:numId w:val="13"/>
        </w:numPr>
        <w:ind w:hanging="709" w:left="993"/>
      </w:pPr>
      <w:r>
        <w:t xml:space="preserve">de Oliveira AB, Ferrisse TM, Marques RS, de Annunzio SR, Brighenti FL, Fontana CR. Effect of Photodynamic Therapy on Microorganisms Responsible for Dental Caries: A Systematic Review and Meta-Analysis. Int J Mol Sci. 2019 Jul 23;20(14). pii: E3585. doi: 10.3390/ijms20143585. Review. </w:t>
      </w:r>
      <w:r>
        <w:t>PubMed PMID: 31340425; PubMed Central PMCID: PMC6678311.</w:t>
      </w:r>
    </w:p>
    <w:p w14:paraId="A5030000">
      <w:pPr>
        <w:pStyle w:val="Style_6"/>
        <w:widowControl w:val="1"/>
        <w:numPr>
          <w:ilvl w:val="0"/>
          <w:numId w:val="13"/>
        </w:numPr>
        <w:ind w:hanging="709" w:left="993"/>
      </w:pPr>
      <w:r>
        <w:t>Современные пломбировочные материалы в клинической стоматологии / Ю.М.Максимовский, Т.В.Ульянова, Н.В.Заболоцкая. – М.: МЕДпресс-информ, 2008. – 48с.</w:t>
      </w:r>
    </w:p>
    <w:p w14:paraId="A6030000">
      <w:pPr>
        <w:pStyle w:val="Style_6"/>
        <w:widowControl w:val="1"/>
        <w:numPr>
          <w:ilvl w:val="0"/>
          <w:numId w:val="13"/>
        </w:numPr>
        <w:ind w:hanging="709" w:left="993"/>
      </w:pPr>
      <w:r>
        <w:t>Алгоритм эстетической реставрации передних и боковых зубов / Л.А.Лобовкина, А.М.Романов. – М.: МЕДпресс-информ, 2008. – 48с.</w:t>
      </w:r>
    </w:p>
    <w:p w14:paraId="A7030000">
      <w:pPr>
        <w:pStyle w:val="Style_6"/>
        <w:widowControl w:val="1"/>
        <w:numPr>
          <w:ilvl w:val="0"/>
          <w:numId w:val="13"/>
        </w:numPr>
        <w:ind w:hanging="709" w:left="993"/>
      </w:pPr>
      <w:r>
        <w:t>Nasoohi N, Hoorizad M, Tabatabaei SF. Effects of Wet and Dry Finishing and Polishing on Surface Roughness and Microhardness of Composite Resins. J Dent (Tehran). 2017 Mar;14(2):69-75. PubMed PMID: 29104597; PubMed Central PMCID: PMC5662511.</w:t>
      </w:r>
    </w:p>
    <w:p w14:paraId="A8030000">
      <w:pPr>
        <w:pStyle w:val="Style_6"/>
        <w:widowControl w:val="1"/>
        <w:numPr>
          <w:ilvl w:val="0"/>
          <w:numId w:val="13"/>
        </w:numPr>
        <w:ind w:hanging="709" w:left="993"/>
      </w:pPr>
      <w:r>
        <w:t xml:space="preserve">Madhyastha PS, Hegde S, Srikant N, Kotian R, Iyer SS. Effect of finishing/polishing techniques and time on surface roughness of esthetic restorative materials. Dent Res J </w:t>
      </w:r>
      <w:r>
        <w:t>(Isfahan). 2017 Sep-Oct;14(5):326-330. PubMed PMID: 29109747; PubMed Central PMCID: PMC5654227.</w:t>
      </w:r>
    </w:p>
    <w:p w14:paraId="A9030000">
      <w:pPr>
        <w:pStyle w:val="Style_6"/>
        <w:widowControl w:val="1"/>
        <w:numPr>
          <w:ilvl w:val="0"/>
          <w:numId w:val="13"/>
        </w:numPr>
        <w:ind w:hanging="709" w:left="993"/>
      </w:pPr>
      <w:r>
        <w:t xml:space="preserve">Dutra D, Pereira G, Kantorski KZ, Valandro LF, Zanatta FB. Does Finishing and Polishing of Restorative Materials Affect Bacterial Adhesion and Biofilm Formation? A Systematic Review. Oper Dent. 2018 Jan/Feb;43(1):E37-E52. doi: 10.2341/17-073-L. </w:t>
      </w:r>
      <w:r>
        <w:t>Review. PubMed PMID: 29284102.</w:t>
      </w:r>
    </w:p>
    <w:p w14:paraId="AA030000">
      <w:pPr>
        <w:pStyle w:val="Style_6"/>
        <w:widowControl w:val="1"/>
        <w:numPr>
          <w:ilvl w:val="0"/>
          <w:numId w:val="13"/>
        </w:numPr>
        <w:ind w:hanging="709" w:left="993"/>
      </w:pPr>
      <w:r>
        <w:t xml:space="preserve">Ehrmann E, Medioni E, Brulat-Bouchard N. Finishing and polishing effects of multiblade burs on the surface texture of 5 resin composites: microhardness and roughness testing. Restor Dent Endod. 2018 Nov 26;44(1):e1. doi: 10.5395/rde.2019.44.e1. eCollection 2019 Feb. </w:t>
      </w:r>
      <w:r>
        <w:t>PubMed PMID: 30834223; PubMed Central PMCID: PMC6387893.</w:t>
      </w:r>
    </w:p>
    <w:p w14:paraId="AB030000">
      <w:pPr>
        <w:pStyle w:val="Style_6"/>
        <w:widowControl w:val="1"/>
        <w:numPr>
          <w:ilvl w:val="0"/>
          <w:numId w:val="13"/>
        </w:numPr>
        <w:ind w:hanging="709" w:left="993"/>
      </w:pPr>
      <w:r>
        <w:t xml:space="preserve">Alfawaz Y. Impact of Polishing Systems on the Surface Roughness and Microhardness of Nanocomposites. </w:t>
      </w:r>
      <w:r>
        <w:t>J Contemp Dent Pract. 2017 Aug 1;18(8):647-651.  PubMed PMID: 28816183.</w:t>
      </w:r>
    </w:p>
    <w:p w14:paraId="AC030000">
      <w:pPr>
        <w:pStyle w:val="Style_6"/>
        <w:widowControl w:val="1"/>
        <w:numPr>
          <w:ilvl w:val="0"/>
          <w:numId w:val="13"/>
        </w:numPr>
        <w:ind w:hanging="709" w:left="993"/>
      </w:pPr>
      <w:r>
        <w:t xml:space="preserve">Ryge G, Snyder M. Evaluating the clinical quality of restorations. </w:t>
      </w:r>
      <w:r>
        <w:t>J Am Dent Assoc. 1973 Aug;87(2):369-77. PubMed PMID: 4515696.</w:t>
      </w:r>
    </w:p>
    <w:p w14:paraId="AD030000">
      <w:pPr>
        <w:pStyle w:val="Style_6"/>
        <w:widowControl w:val="1"/>
        <w:numPr>
          <w:ilvl w:val="0"/>
          <w:numId w:val="13"/>
        </w:numPr>
        <w:ind w:hanging="709" w:left="993"/>
      </w:pPr>
      <w:r>
        <w:t xml:space="preserve">Kane AW, Faye B, Sarr M, Toure B. [A clinical study of composite restorations in anterior teeth using the Ryge criteria. Apropos of 120 cases performed at the University Hospital Center in Dakar]. </w:t>
      </w:r>
      <w:r>
        <w:t>Odontostomatol Trop. 2000 Jun;23(90):15-8. French. PubMed PMID: 11372158.</w:t>
      </w:r>
    </w:p>
    <w:p w14:paraId="AE030000">
      <w:pPr>
        <w:pStyle w:val="Style_6"/>
        <w:widowControl w:val="1"/>
        <w:numPr>
          <w:ilvl w:val="0"/>
          <w:numId w:val="13"/>
        </w:numPr>
        <w:ind w:hanging="709" w:left="993"/>
      </w:pPr>
      <w:r>
        <w:t>Moncada G, Silva F, Angel P, Oliveira OB Jr, Fresno MC, Cisternas P, Fernandez E, Estay J, Martin J. Evaluation of dental restorations: a comparative study between clinical and digital photographic assessments. Oper Dent. 2014 Mar-Apr;39(2):E45-56. doi: 10.2341/12-339-C. Epub 2013 Aug 12. PubMed PMID: 23937403.</w:t>
      </w:r>
    </w:p>
    <w:p w14:paraId="AF030000">
      <w:pPr>
        <w:pStyle w:val="Style_6"/>
        <w:widowControl w:val="1"/>
        <w:numPr>
          <w:ilvl w:val="0"/>
          <w:numId w:val="13"/>
        </w:numPr>
        <w:ind w:hanging="709" w:left="993"/>
      </w:pPr>
      <w:r>
        <w:t xml:space="preserve">Hickel R, Roulet JF, Bayne S, Heintze SD, Mjör IA, Peters M, Rousson V, Randall R, Schmalz G, Tyas M, Vanherle G. Recommendations for conducting controlled clinical studies of dental restorative materials. Clin Oral Investig.  2007 Mar;11(1):5-33. Epub 2007 Jan 30. Review. Erratum in: Clin Oral Investig. </w:t>
      </w:r>
      <w:r>
        <w:t>2008 Mar;12(1):97. PubMed PMID: 17262225.</w:t>
      </w:r>
    </w:p>
    <w:p w14:paraId="B0030000">
      <w:pPr>
        <w:pStyle w:val="Style_6"/>
        <w:widowControl w:val="1"/>
        <w:numPr>
          <w:ilvl w:val="0"/>
          <w:numId w:val="13"/>
        </w:numPr>
        <w:ind w:hanging="709" w:left="993"/>
      </w:pPr>
      <w:r>
        <w:t xml:space="preserve">Chailertvanitkul P. et al. Randomized control trial comparing calcium hydroxide and mineral trioxide aggregate for partial pulpotomies in cariously exposed pulps of permanent molars //International endodontic journal. – 2014. – </w:t>
      </w:r>
      <w:r>
        <w:t>Т</w:t>
      </w:r>
      <w:r>
        <w:t xml:space="preserve">. 47. – №. </w:t>
      </w:r>
      <w:r>
        <w:t>9. – С. 835-842. doi.org/10.1111/iej.12225</w:t>
      </w:r>
    </w:p>
    <w:p w14:paraId="B1030000">
      <w:pPr>
        <w:pStyle w:val="Style_6"/>
        <w:widowControl w:val="1"/>
        <w:numPr>
          <w:ilvl w:val="0"/>
          <w:numId w:val="13"/>
        </w:numPr>
        <w:ind w:hanging="709" w:left="993"/>
      </w:pPr>
      <w:r>
        <w:t xml:space="preserve">Волков Е.А., Терапевтическая стоматология. Болезни зубов. В 3 ч. Ч. 1. [Электронный ресурс] : учебник / под ред. Е.А. Волкова, О.О. Янушевича - М. : </w:t>
      </w:r>
      <w:r>
        <w:t xml:space="preserve">ГЭОТАР-Медиа, 2015. - 168 с. - ISBN 978-5-9704-3339-3 - Режим доступа: </w:t>
      </w:r>
      <w:r>
        <w:rPr>
          <w:rStyle w:val="Style_26_ch"/>
        </w:rPr>
        <w:fldChar w:fldCharType="begin"/>
      </w:r>
      <w:r>
        <w:rPr>
          <w:rStyle w:val="Style_26_ch"/>
        </w:rPr>
        <w:instrText>HYPERLINK "http://www.rosmedlib.ru/book/ISBN9785970433393.html"</w:instrText>
      </w:r>
      <w:r>
        <w:rPr>
          <w:rStyle w:val="Style_26_ch"/>
        </w:rPr>
        <w:fldChar w:fldCharType="separate"/>
      </w:r>
      <w:r>
        <w:rPr>
          <w:rStyle w:val="Style_26_ch"/>
        </w:rPr>
        <w:t>http://www.rosmedlib.ru/book/ISBN9785970433393.html</w:t>
      </w:r>
      <w:r>
        <w:rPr>
          <w:rStyle w:val="Style_26_ch"/>
        </w:rPr>
        <w:fldChar w:fldCharType="end"/>
      </w:r>
    </w:p>
    <w:p w14:paraId="B2030000">
      <w:pPr>
        <w:pStyle w:val="Style_6"/>
        <w:widowControl w:val="1"/>
        <w:numPr>
          <w:ilvl w:val="0"/>
          <w:numId w:val="13"/>
        </w:numPr>
        <w:ind w:hanging="709" w:left="993"/>
        <w:jc w:val="left"/>
      </w:pPr>
      <w:r>
        <w:t xml:space="preserve">Lawson N., Robles A. Clinical Treatment of Deep Caries. Decisions in Dentistry. February 2019;5(2):10—12,14 </w:t>
      </w:r>
      <w:r>
        <w:rPr>
          <w:rStyle w:val="Style_26_ch"/>
        </w:rPr>
        <w:fldChar w:fldCharType="begin"/>
      </w:r>
      <w:r>
        <w:rPr>
          <w:rStyle w:val="Style_26_ch"/>
        </w:rPr>
        <w:instrText>HYPERLINK "https://decisionsindentistry.com/author/infobelmontpublications-com/"</w:instrText>
      </w:r>
      <w:r>
        <w:rPr>
          <w:rStyle w:val="Style_26_ch"/>
        </w:rPr>
        <w:fldChar w:fldCharType="separate"/>
      </w:r>
      <w:r>
        <w:rPr>
          <w:rStyle w:val="Style_26_ch"/>
        </w:rPr>
        <w:t>https://decisionsindentistry.com/author/infobelmontpublications-com/</w:t>
      </w:r>
      <w:r>
        <w:rPr>
          <w:rStyle w:val="Style_26_ch"/>
        </w:rPr>
        <w:fldChar w:fldCharType="end"/>
      </w:r>
      <w:r>
        <w:t xml:space="preserve"> </w:t>
      </w:r>
    </w:p>
    <w:p w14:paraId="B3030000">
      <w:pPr>
        <w:pStyle w:val="Style_6"/>
        <w:widowControl w:val="1"/>
        <w:numPr>
          <w:ilvl w:val="0"/>
          <w:numId w:val="13"/>
        </w:numPr>
        <w:ind w:hanging="709" w:left="993"/>
      </w:pPr>
      <w:r>
        <w:t xml:space="preserve">Carvalho J.C.a · Dige I.b · Machiulskiene V.c · Qvist V.d · Bakhshandeh A.d · Fatturi-Parolo C.e · Maltz M.e Occlusal Caries: Biological Approach for Its Diagnosis and Management ORCA Saturday Afternoon Symposium, 2015 </w:t>
      </w:r>
    </w:p>
    <w:p w14:paraId="B4030000">
      <w:pPr>
        <w:pStyle w:val="Style_6"/>
        <w:widowControl w:val="1"/>
        <w:numPr>
          <w:ilvl w:val="0"/>
          <w:numId w:val="13"/>
        </w:numPr>
        <w:ind w:hanging="709" w:left="993"/>
      </w:pPr>
      <w:r>
        <w:t xml:space="preserve">Bjørndal, Lars &amp; Simon, Stephane &amp; Tomson, Phillip &amp; Duncan, Henry. (2019). Management of Deep Caries and the Exposed Pulp. International Endodontic Journal. </w:t>
      </w:r>
      <w:r>
        <w:t xml:space="preserve">52. 10.1111/iej.13128, </w:t>
      </w:r>
    </w:p>
    <w:p w14:paraId="B5030000">
      <w:pPr>
        <w:pStyle w:val="Style_6"/>
        <w:widowControl w:val="1"/>
        <w:numPr>
          <w:ilvl w:val="0"/>
          <w:numId w:val="13"/>
        </w:numPr>
        <w:ind w:hanging="709" w:left="993"/>
      </w:pPr>
      <w:r>
        <w:t xml:space="preserve">Duncan, Henry &amp; Galler, K &amp; Tomson, Phillip &amp; Simon, Stephane &amp; El Karim, Ikhlas &amp; Kundzina, Rita &amp; Krastl, Gabriel &amp; Dammaschke, Till &amp; Fransson, Helena &amp; Markvart, Merete &amp; Zehnder, Marc &amp; Bjørndal, Lars &amp; Dummer, Paul. (2019). European Society of Endodontology position statement: Management of deep caries and the exposed pulp. </w:t>
      </w:r>
      <w:r>
        <w:t>International Endodontic Journal. 52. 10.1111/iej.13080.</w:t>
      </w:r>
    </w:p>
    <w:p w14:paraId="B6030000">
      <w:pPr>
        <w:pStyle w:val="Style_6"/>
        <w:widowControl w:val="1"/>
        <w:numPr>
          <w:ilvl w:val="0"/>
          <w:numId w:val="13"/>
        </w:numPr>
        <w:ind w:hanging="709" w:left="993"/>
      </w:pPr>
      <w:r>
        <w:t xml:space="preserve">Maltz, Marisa &amp; Garcia, R &amp; Jardim, Juliana &amp; Paula, Lilian &amp; Yamaguti, Paulo &amp; Moura, M &amp; Garcia, Fernanda &amp; Nascimento, C &amp; Oliveira, A. (2012). Randomized Trial of Partial vs. Stepwise Caries Removal: 3-year Follow-up. </w:t>
      </w:r>
      <w:r>
        <w:t>Journal of dental research. 91. 1026-31. 10.1177/0022034512460403</w:t>
      </w:r>
    </w:p>
    <w:p w14:paraId="B7030000">
      <w:pPr>
        <w:pStyle w:val="Style_6"/>
        <w:widowControl w:val="1"/>
        <w:numPr>
          <w:ilvl w:val="0"/>
          <w:numId w:val="13"/>
        </w:numPr>
        <w:ind w:hanging="709" w:left="993"/>
      </w:pPr>
      <w:r>
        <w:t xml:space="preserve">Shwendicke, Falk &amp; Dörfer, Christof &amp; Paris, Sebastian. (2013). Incomplete Caries Removal: A Systematic Review and Meta-analysis. </w:t>
      </w:r>
      <w:r>
        <w:t>Journal of dental research. 92. 10.1177/0022034513477425</w:t>
      </w:r>
    </w:p>
    <w:p w14:paraId="B8030000">
      <w:pPr>
        <w:pStyle w:val="Style_6"/>
        <w:widowControl w:val="1"/>
        <w:numPr>
          <w:ilvl w:val="0"/>
          <w:numId w:val="13"/>
        </w:numPr>
        <w:ind w:hanging="709" w:left="993"/>
      </w:pPr>
      <w:r>
        <w:t>Harms CS, Sch</w:t>
      </w:r>
      <w:r>
        <w:t>д</w:t>
      </w:r>
      <w:r>
        <w:t xml:space="preserve">fer E, Dammaschke T (2019) Clinical evaluation of direct pulp capping using a calcium silicate cement - treatment outcomes over an average period of 2.3 years. </w:t>
      </w:r>
      <w:r>
        <w:t>ClinicalOralInvestigations [accepted]DOI: 10.1007/s00784-018-2767-5.</w:t>
      </w:r>
    </w:p>
    <w:p w14:paraId="B9030000">
      <w:pPr>
        <w:pStyle w:val="Style_6"/>
        <w:widowControl w:val="1"/>
        <w:numPr>
          <w:ilvl w:val="0"/>
          <w:numId w:val="13"/>
        </w:numPr>
        <w:ind w:hanging="709" w:left="993"/>
      </w:pPr>
      <w:r>
        <w:t xml:space="preserve">Kiranmayi G, Hussainy N, Lavanya A, Swapna S. Clinical performance of mineral trioxide aggregate versus calcium hydroxide as indirect pulp-capping agents in permanent teeth: A systematic review and meta-analysis. J Int Oral Health [serial online] 2019 [cited 2019 Nov 11];11:235-43. Available from: http://www.jioh.org/text.asp?2019/11/5/235/267707 </w:t>
      </w:r>
    </w:p>
    <w:p w14:paraId="BA030000">
      <w:pPr>
        <w:pStyle w:val="Style_6"/>
        <w:widowControl w:val="1"/>
        <w:numPr>
          <w:ilvl w:val="0"/>
          <w:numId w:val="13"/>
        </w:numPr>
        <w:ind w:hanging="709" w:left="993"/>
      </w:pPr>
      <w:r>
        <w:t xml:space="preserve">Parinyaprom N, Nirunsittirat A, Chuveera P, Na Lampang S, Srisuwan T, Sastraruji T, Bua-On P, Simprasert S, Khoipanich I, Sutharaphan T, Theppimarn S, Ue-Srichai N, Tangtrakooljaroen W, Chompu-Inwai P. Outcomes of Direct Pulp Capping by Using Either ProRoot Mineral Trioxide Aggregate or Biodentine in Permanent Teeth with </w:t>
      </w:r>
      <w:r>
        <w:t xml:space="preserve">Carious Pulp Exposure in 6- to 18-Year-Old Patients: A Randomized Controlled Trial.J Endod. </w:t>
      </w:r>
      <w:r>
        <w:t>2018 Mar;44(3):341-348. doi: 10.1016/j.joen.2017.10.012. Epub 2017 Dec 21.</w:t>
      </w:r>
    </w:p>
    <w:p w14:paraId="BB030000">
      <w:pPr>
        <w:pStyle w:val="Style_6"/>
        <w:widowControl w:val="1"/>
        <w:numPr>
          <w:ilvl w:val="0"/>
          <w:numId w:val="13"/>
        </w:numPr>
        <w:ind w:hanging="709" w:left="993"/>
      </w:pPr>
      <w:r>
        <w:t xml:space="preserve">Mente J. et al. Mineral trioxide aggregate or calcium hydroxide direct pulp capping: an analysis of the clinical treatment outcome //Journal of endodontics. – 2010. – </w:t>
      </w:r>
      <w:r>
        <w:t>Т</w:t>
      </w:r>
      <w:r>
        <w:t xml:space="preserve">. 36. – №. </w:t>
      </w:r>
      <w:r>
        <w:t>5. – С. 806-813.PMID: 20416424 DOI: 10.1016/j.joen.2010.02.024,</w:t>
      </w:r>
    </w:p>
    <w:p w14:paraId="BC030000">
      <w:pPr>
        <w:pStyle w:val="Style_6"/>
        <w:widowControl w:val="1"/>
        <w:numPr>
          <w:ilvl w:val="0"/>
          <w:numId w:val="13"/>
        </w:numPr>
        <w:ind w:hanging="709" w:left="993"/>
      </w:pPr>
      <w:r>
        <w:t xml:space="preserve">Bakland LK (2008) Direct pulp capping with mineral trioxide aggregate: an observational study. </w:t>
      </w:r>
      <w:r>
        <w:t xml:space="preserve">Journal of the American Dental Association139, 305-15., </w:t>
      </w:r>
    </w:p>
    <w:p w14:paraId="BD030000">
      <w:pPr>
        <w:pStyle w:val="Style_6"/>
        <w:widowControl w:val="1"/>
        <w:numPr>
          <w:ilvl w:val="0"/>
          <w:numId w:val="13"/>
        </w:numPr>
        <w:ind w:hanging="709" w:left="993"/>
      </w:pPr>
      <w:r>
        <w:t xml:space="preserve">Marques MS, Wesselink PR, Shemesh H (2015)Outcome of direct pulp capping with mineral trioxide aggregate. </w:t>
      </w:r>
      <w:r>
        <w:t>Journal of Endodontics41, 1026-31.</w:t>
      </w:r>
    </w:p>
    <w:p w14:paraId="BE030000">
      <w:pPr>
        <w:pStyle w:val="Style_6"/>
        <w:widowControl w:val="1"/>
        <w:numPr>
          <w:ilvl w:val="0"/>
          <w:numId w:val="13"/>
        </w:numPr>
        <w:ind w:hanging="709" w:left="993"/>
      </w:pPr>
      <w:r>
        <w:t xml:space="preserve">Mostafa, Nawras &amp; Moussa, Shady. (2018). Mineral Trioxide Aggregate (MTA) vs Calcium Hydroxide in Direct Pulp Capping-Literature Review. </w:t>
      </w:r>
      <w:r>
        <w:t xml:space="preserve">1(2): 2018. 6. 10.20431/2456-0030.0302004. </w:t>
      </w:r>
    </w:p>
    <w:p w14:paraId="BF030000">
      <w:pPr>
        <w:pStyle w:val="Style_6"/>
        <w:widowControl w:val="1"/>
        <w:numPr>
          <w:ilvl w:val="0"/>
          <w:numId w:val="13"/>
        </w:numPr>
        <w:ind w:hanging="709" w:left="993"/>
      </w:pPr>
      <w:r>
        <w:t xml:space="preserve">Mejàre&amp;Cvek 1993, Barrieshi-Nusair&amp;Qudeimat 2006, ChailertvanitkulP, PaphangkorakitJ, SooksantisakoonchaiN, etal. (2014)Randomized control trial comparing calcium hydroxide and mineral trioxide aggregate for partial pulpotomies in cariously exposed pulps of permanent molars.InternationalEndodonticJournal 47, 835-42    </w:t>
      </w:r>
    </w:p>
    <w:p w14:paraId="C0030000">
      <w:pPr>
        <w:pStyle w:val="Style_6"/>
        <w:widowControl w:val="1"/>
        <w:numPr>
          <w:ilvl w:val="0"/>
          <w:numId w:val="13"/>
        </w:numPr>
        <w:ind w:hanging="709" w:left="993"/>
      </w:pPr>
      <w:r>
        <w:t xml:space="preserve">Awawdeh L, Al-Qudah A, Hamouri H, Chakra RJ Outcomes of vital pulp therapy using mineral trioxide aggregate or biodentine: A prospective randomized clinical trial. </w:t>
      </w:r>
      <w:r>
        <w:t xml:space="preserve">J Endod 2018;44:1603-9   </w:t>
      </w:r>
    </w:p>
    <w:p w14:paraId="C1030000">
      <w:pPr>
        <w:pStyle w:val="Style_6"/>
        <w:widowControl w:val="1"/>
        <w:numPr>
          <w:ilvl w:val="0"/>
          <w:numId w:val="13"/>
        </w:numPr>
        <w:ind w:hanging="709" w:left="993"/>
      </w:pPr>
      <w:r>
        <w:t xml:space="preserve">Mathur VP, Dhillon JK, Logani A, Kalra G Evaluation of indirect pulp capping using three different materials: A randomized control trial using cone-beam computed tomography. </w:t>
      </w:r>
      <w:r>
        <w:t>Indian J Dent Res 2016;27:623-9</w:t>
      </w:r>
    </w:p>
    <w:p w14:paraId="C2030000">
      <w:pPr>
        <w:pStyle w:val="Style_6"/>
        <w:widowControl w:val="1"/>
        <w:numPr>
          <w:ilvl w:val="0"/>
          <w:numId w:val="13"/>
        </w:numPr>
        <w:ind w:hanging="709" w:left="993"/>
      </w:pPr>
      <w:r>
        <w:t>Кузьмина Э.М. Профилактика стоматологических заболеваний. Учебное пособие. Издательство - «Тонга-Принт», 2001, 216 с. </w:t>
      </w:r>
    </w:p>
    <w:p w14:paraId="C3030000">
      <w:pPr>
        <w:pStyle w:val="Style_6"/>
        <w:widowControl w:val="1"/>
        <w:numPr>
          <w:ilvl w:val="0"/>
          <w:numId w:val="13"/>
        </w:numPr>
        <w:ind w:hanging="709" w:left="993"/>
      </w:pPr>
      <w:r>
        <w:t>Беленова, И.А. Разработка и оценка эффективности методов предупредительного выявления процессов деминерализации эмали при диагностике вторичного кариеса / И.А. Беленова, Р.А. Шабанов//Системный анализ и управление в биомедицинских системах.- Т.11.-№3,2012.- С.714-720.</w:t>
      </w:r>
    </w:p>
    <w:p w14:paraId="C4030000">
      <w:pPr>
        <w:pStyle w:val="Style_6"/>
        <w:widowControl w:val="1"/>
        <w:numPr>
          <w:ilvl w:val="0"/>
          <w:numId w:val="13"/>
        </w:numPr>
        <w:ind w:hanging="709" w:left="993"/>
      </w:pPr>
      <w:r>
        <w:t>Кунин А.А. Оценка эффективности применения кальцийсодержащих препаратов в программе профилактики кариеса/А.А. Кунин, И.А. Беленова, А.Ю. Скорынина, П.С. Кравчук, Г.Б. Кобзева// Вестник новых медицинских технологий.- 2012.- Т. 19.-№2.-С.226-227.</w:t>
      </w:r>
    </w:p>
    <w:p w14:paraId="C5030000">
      <w:pPr>
        <w:pStyle w:val="Style_6"/>
        <w:widowControl w:val="1"/>
        <w:numPr>
          <w:ilvl w:val="0"/>
          <w:numId w:val="13"/>
        </w:numPr>
        <w:ind w:hanging="709" w:left="993"/>
      </w:pPr>
      <w:r>
        <w:t xml:space="preserve">Кунин А.А. Значение профилактики патологии пародонта в рамках программы индивидуальной профилактики кариеса/А.А. Кунин, И.А. Беленова, С.В. Ерина, </w:t>
      </w:r>
      <w:r>
        <w:t>О.А. Кудрявцев// Прикладные информационные аспекты медицины.- 2006.- Т.9.-№1.-С.141-144.</w:t>
      </w:r>
    </w:p>
    <w:p w14:paraId="C6030000">
      <w:pPr>
        <w:pStyle w:val="Style_6"/>
        <w:widowControl w:val="1"/>
        <w:numPr>
          <w:ilvl w:val="0"/>
          <w:numId w:val="13"/>
        </w:numPr>
        <w:ind w:hanging="709" w:left="993"/>
      </w:pPr>
      <w:r>
        <w:t>Модринская, Ю. В. Методы прогнозирования кариеса зубов: учебно-методическое пособие / Ю. В. Модринская. . Минск: БГМУ, 2006. . 31 с.</w:t>
      </w:r>
    </w:p>
    <w:p w14:paraId="C7030000">
      <w:pPr>
        <w:pStyle w:val="Style_6"/>
        <w:widowControl w:val="1"/>
        <w:numPr>
          <w:ilvl w:val="0"/>
          <w:numId w:val="13"/>
        </w:numPr>
        <w:ind w:hanging="709" w:left="993"/>
      </w:pPr>
      <w:r>
        <w:t xml:space="preserve">Axelsson, P. Diagnosis and risk prediction of dental caries / P. Axelsson. . </w:t>
      </w:r>
      <w:r>
        <w:t>NY: Quintessence Publishing Co, Inc., 2000. . 307 c.</w:t>
      </w:r>
    </w:p>
    <w:p w14:paraId="C8030000">
      <w:pPr>
        <w:pStyle w:val="Style_6"/>
        <w:widowControl w:val="1"/>
        <w:numPr>
          <w:ilvl w:val="0"/>
          <w:numId w:val="13"/>
        </w:numPr>
        <w:ind w:hanging="709" w:left="993"/>
      </w:pPr>
      <w:r>
        <w:t xml:space="preserve">Laurisch L. Strategies for caries risk diagnostics. Quintessence Int. 2014 Jul-Aug;45(7):619-27. doi: 10.3290/j.qi.a31958. </w:t>
      </w:r>
      <w:r>
        <w:t xml:space="preserve">PubMed PMID: 24847502. </w:t>
      </w:r>
    </w:p>
    <w:p w14:paraId="C9030000">
      <w:pPr>
        <w:pStyle w:val="Style_6"/>
        <w:widowControl w:val="1"/>
        <w:numPr>
          <w:ilvl w:val="0"/>
          <w:numId w:val="13"/>
        </w:numPr>
        <w:ind w:hanging="709" w:left="993"/>
      </w:pPr>
      <w:bookmarkStart w:id="59" w:name="_Hlk26024839"/>
      <w:r>
        <w:t xml:space="preserve">Laurisch L. [Determination of an individual's caries risk assumptions for measuring prevention]. </w:t>
      </w:r>
      <w:r>
        <w:t>Oralprophylaxe. 1988 Sep;10(3):126-33. German. PubMed PMID: 3273890.</w:t>
      </w:r>
      <w:bookmarkEnd w:id="59"/>
    </w:p>
    <w:p w14:paraId="CA030000">
      <w:pPr>
        <w:pStyle w:val="Style_6"/>
        <w:widowControl w:val="1"/>
        <w:numPr>
          <w:ilvl w:val="0"/>
          <w:numId w:val="13"/>
        </w:numPr>
        <w:ind w:hanging="709" w:left="993"/>
      </w:pPr>
      <w:r>
        <w:t>Модринская, Ю. В. Диагностическое значение и прогностическая эффективность экспресс-методов исследования слюны при кариесе зубов / Ю. В. Модринская // Стом. журн. . 2001. . № 2. . С. 42-47.</w:t>
      </w:r>
    </w:p>
    <w:p w14:paraId="CB030000">
      <w:pPr>
        <w:pStyle w:val="Style_6"/>
        <w:widowControl w:val="1"/>
        <w:numPr>
          <w:ilvl w:val="0"/>
          <w:numId w:val="13"/>
        </w:numPr>
        <w:ind w:hanging="709" w:left="993"/>
      </w:pPr>
      <w:r>
        <w:t>Жаркова О.А. Современные подходы к диагностике факторов риска возникновения кариеса. Вестник Витебского государственного медицинского университета. 2010. Т. 9. № 3. С. 6.</w:t>
      </w:r>
    </w:p>
    <w:p w14:paraId="CC030000">
      <w:pPr>
        <w:pStyle w:val="Style_6"/>
        <w:widowControl w:val="1"/>
        <w:numPr>
          <w:ilvl w:val="0"/>
          <w:numId w:val="13"/>
        </w:numPr>
        <w:ind w:hanging="709" w:left="993"/>
      </w:pPr>
      <w:r>
        <w:t>Боровский, Е.В. Кариес зубов : препарирование и пломбирование / Е.В. Боровский. Москва : АО «Стоматология», 2001. - 144 с.</w:t>
      </w:r>
    </w:p>
    <w:p w14:paraId="CD030000">
      <w:pPr>
        <w:pStyle w:val="Style_6"/>
        <w:widowControl w:val="1"/>
        <w:numPr>
          <w:ilvl w:val="0"/>
          <w:numId w:val="13"/>
        </w:numPr>
        <w:ind w:hanging="709" w:left="993"/>
      </w:pPr>
      <w:r>
        <w:t>Гилева О.С., Муравьева М.А., Сюткина Е.С., Левицкая А.Д. Постортодонтическая деминерализация эмали: клинические особенности и эффективность лечения. Маэстро стоматологии. 2015. № 4. С. 38.</w:t>
      </w:r>
    </w:p>
    <w:p w14:paraId="CE030000">
      <w:pPr>
        <w:pStyle w:val="Style_6"/>
        <w:widowControl w:val="1"/>
        <w:numPr>
          <w:ilvl w:val="0"/>
          <w:numId w:val="13"/>
        </w:numPr>
        <w:ind w:hanging="709" w:left="993"/>
      </w:pPr>
      <w:r>
        <w:t xml:space="preserve">Осокина А.С., Сопельняк Д.А., Цебекова А.Г., Боловина А.Д. Сравнительная характеристика систем оценки и регистрации пораженности зубов кариесом. </w:t>
      </w:r>
      <w:r>
        <w:t xml:space="preserve">The Journal of scientific articles “Health and Education Millennium”, 2018. Vol. 20. </w:t>
      </w:r>
      <w:r>
        <w:t xml:space="preserve">No 6. P.48-52. </w:t>
      </w:r>
      <w:r>
        <w:rPr>
          <w:rStyle w:val="Style_26_ch"/>
        </w:rPr>
        <w:fldChar w:fldCharType="begin"/>
      </w:r>
      <w:r>
        <w:rPr>
          <w:rStyle w:val="Style_26_ch"/>
        </w:rPr>
        <w:instrText>HYPERLINK "http://dx.doi.org/10.26787/nydha-2226-7425-2018-20-6"</w:instrText>
      </w:r>
      <w:r>
        <w:rPr>
          <w:rStyle w:val="Style_26_ch"/>
        </w:rPr>
        <w:fldChar w:fldCharType="separate"/>
      </w:r>
      <w:r>
        <w:rPr>
          <w:rStyle w:val="Style_26_ch"/>
        </w:rPr>
        <w:t>http://dx.doi.org/10.26787/nydha-2226-7425-2018-20-6</w:t>
      </w:r>
      <w:r>
        <w:rPr>
          <w:rStyle w:val="Style_26_ch"/>
        </w:rPr>
        <w:fldChar w:fldCharType="end"/>
      </w:r>
    </w:p>
    <w:p w14:paraId="CF030000">
      <w:pPr>
        <w:pStyle w:val="Style_6"/>
        <w:widowControl w:val="1"/>
        <w:numPr>
          <w:ilvl w:val="0"/>
          <w:numId w:val="13"/>
        </w:numPr>
        <w:ind w:hanging="709" w:left="993"/>
      </w:pPr>
      <w:r>
        <w:t xml:space="preserve">Денисова Ю.Л., Росеник Н.И., Денисов Л.А. Методы лучевой диагностики эндопериодонтита // Доклады БГУИР. 2016. №7 (101). </w:t>
      </w:r>
      <w:r>
        <w:t>URL</w:t>
      </w:r>
      <w:r>
        <w:t xml:space="preserve">: </w:t>
      </w:r>
      <w:r>
        <w:t>https</w:t>
      </w:r>
      <w:r>
        <w:t>://</w:t>
      </w:r>
      <w:r>
        <w:t>cyberleninka</w:t>
      </w:r>
      <w:r>
        <w:t>.</w:t>
      </w:r>
      <w:r>
        <w:t>ru</w:t>
      </w:r>
      <w:r>
        <w:t>/</w:t>
      </w:r>
      <w:r>
        <w:t>article</w:t>
      </w:r>
      <w:r>
        <w:t>/</w:t>
      </w:r>
      <w:r>
        <w:t>n</w:t>
      </w:r>
      <w:r>
        <w:t>/</w:t>
      </w:r>
      <w:r>
        <w:t>metody</w:t>
      </w:r>
      <w:r>
        <w:t>-</w:t>
      </w:r>
      <w:r>
        <w:t>luchevoy</w:t>
      </w:r>
      <w:r>
        <w:t>-</w:t>
      </w:r>
      <w:r>
        <w:t>diagnostiki</w:t>
      </w:r>
      <w:r>
        <w:t>-</w:t>
      </w:r>
      <w:r>
        <w:t>endoperiodontita</w:t>
      </w:r>
      <w:r>
        <w:t xml:space="preserve"> (дата обращения: 06.11.2019).</w:t>
      </w:r>
    </w:p>
    <w:p w14:paraId="D0030000">
      <w:pPr>
        <w:pStyle w:val="Style_6"/>
        <w:widowControl w:val="1"/>
        <w:numPr>
          <w:ilvl w:val="0"/>
          <w:numId w:val="13"/>
        </w:numPr>
        <w:ind w:hanging="709" w:left="993"/>
      </w:pPr>
      <w:r>
        <w:t xml:space="preserve">Николаев, Д.А. Диагностика скрытых кариозных поражений контактных поверхностей жевательных зубов / Д.А. Николаев // </w:t>
      </w:r>
      <w:r>
        <w:t>Cathedra</w:t>
      </w:r>
      <w:r>
        <w:t xml:space="preserve"> - стоматологическое образование. - 2014. - № 48. - </w:t>
      </w:r>
      <w:r>
        <w:t>C</w:t>
      </w:r>
      <w:r>
        <w:t>.32-36</w:t>
      </w:r>
    </w:p>
    <w:p w14:paraId="D1030000">
      <w:pPr>
        <w:pStyle w:val="Style_6"/>
        <w:widowControl w:val="1"/>
        <w:numPr>
          <w:ilvl w:val="0"/>
          <w:numId w:val="13"/>
        </w:numPr>
        <w:ind w:hanging="709" w:left="993"/>
      </w:pPr>
      <w:r>
        <w:t>Митронин А.В., Алекберова Г.И., Вавилова Т.П., Прокопов А.А., Пушкина М.А.</w:t>
      </w:r>
      <w:r>
        <w:t xml:space="preserve"> </w:t>
      </w:r>
      <w:r>
        <w:t xml:space="preserve">Исследование факторов, влияющих на развитие некариозных поражений зубов у </w:t>
      </w:r>
      <w:r>
        <w:t>больных с хронической почечной недостаточностью</w:t>
      </w:r>
      <w:r>
        <w:t xml:space="preserve">. </w:t>
      </w:r>
      <w:r>
        <w:t>Эндодонтия Today. 2016. № 4. С. 3-6.</w:t>
      </w:r>
    </w:p>
    <w:p w14:paraId="D2030000">
      <w:pPr>
        <w:pStyle w:val="Style_6"/>
        <w:widowControl w:val="1"/>
        <w:numPr>
          <w:ilvl w:val="0"/>
          <w:numId w:val="13"/>
        </w:numPr>
        <w:ind w:hanging="709" w:left="993"/>
      </w:pPr>
      <w:r>
        <w:t>Манучарян Л.А., Митронин А.В., Мартынова С.А.</w:t>
      </w:r>
      <w:r>
        <w:t xml:space="preserve"> </w:t>
      </w:r>
      <w:r>
        <w:t>Изучение фотодинамического метода профилактики рецидивов кариеса</w:t>
      </w:r>
      <w:r>
        <w:t xml:space="preserve">. </w:t>
      </w:r>
      <w:r>
        <w:t>Стоматология. 2014. Т. 6. № 2. С. 15.</w:t>
      </w:r>
    </w:p>
    <w:p w14:paraId="D3030000">
      <w:pPr>
        <w:pStyle w:val="Style_6"/>
        <w:widowControl w:val="1"/>
        <w:numPr>
          <w:ilvl w:val="0"/>
          <w:numId w:val="13"/>
        </w:numPr>
        <w:ind w:hanging="709" w:left="993"/>
      </w:pPr>
      <w:r>
        <w:t>Митронин А.В., Цыганков Б.Д., Бутаева С.А.</w:t>
      </w:r>
      <w:r>
        <w:t xml:space="preserve"> </w:t>
      </w:r>
      <w:r>
        <w:t>Особенности течения кариеса и его осложнений у больных шизофренией</w:t>
      </w:r>
      <w:r>
        <w:t xml:space="preserve">. </w:t>
      </w:r>
      <w:r>
        <w:t>Эндодонтия Today. 2013. № 2. С. 24-26.</w:t>
      </w:r>
    </w:p>
    <w:p w14:paraId="D4030000">
      <w:pPr>
        <w:pStyle w:val="Style_6"/>
        <w:widowControl w:val="1"/>
        <w:numPr>
          <w:ilvl w:val="0"/>
          <w:numId w:val="13"/>
        </w:numPr>
        <w:ind w:hanging="709" w:left="993"/>
      </w:pPr>
      <w:r>
        <w:t>Ломиашвили Л.М., Погадаев Д.В., Елендо М.Б., Михайловский С.Г.</w:t>
      </w:r>
      <w:r>
        <w:t xml:space="preserve"> </w:t>
      </w:r>
      <w:r>
        <w:t>Минимально-инвазивные методы лечения кариеса зубов</w:t>
      </w:r>
      <w:r>
        <w:t xml:space="preserve">. </w:t>
      </w:r>
      <w:r>
        <w:br/>
      </w:r>
      <w:r>
        <w:t>Клиническая стоматология. 2010. № 1 (53). С. 30-33.</w:t>
      </w:r>
    </w:p>
    <w:p w14:paraId="D5030000">
      <w:pPr>
        <w:pStyle w:val="Style_6"/>
        <w:widowControl w:val="1"/>
        <w:numPr>
          <w:ilvl w:val="0"/>
          <w:numId w:val="13"/>
        </w:numPr>
        <w:ind w:hanging="709" w:left="993"/>
      </w:pPr>
      <w:r>
        <w:t>Власова М.И., Мандра Ю.В., Зайцев Д.В., Панфилов П.Е.</w:t>
      </w:r>
      <w:r>
        <w:t xml:space="preserve"> </w:t>
      </w:r>
      <w:r>
        <w:t>Изучение влияния озона на формирование гибридной зоны в кариозных полостях пришеечной локализации</w:t>
      </w:r>
      <w:r>
        <w:t xml:space="preserve">. </w:t>
      </w:r>
      <w:r>
        <w:t>Проблемы стоматологии. 2012. № 2. С. 4-7.</w:t>
      </w:r>
    </w:p>
    <w:p w14:paraId="D6030000">
      <w:pPr>
        <w:pStyle w:val="Style_6"/>
        <w:widowControl w:val="1"/>
        <w:numPr>
          <w:ilvl w:val="0"/>
          <w:numId w:val="13"/>
        </w:numPr>
        <w:ind w:hanging="709" w:left="993"/>
      </w:pPr>
      <w:r>
        <w:t>Болдырев Ю.А., Мандра Ю.В.</w:t>
      </w:r>
      <w:r>
        <w:t xml:space="preserve"> </w:t>
      </w:r>
      <w:r>
        <w:t>Социальная значимость эстетико-функциональной реставрации зубов прямым и непрямым способами</w:t>
      </w:r>
      <w:r>
        <w:t xml:space="preserve">. </w:t>
      </w:r>
      <w:r>
        <w:t>Проблемы стоматологии. 2017. Т. 13. № 4. С. 3-8.</w:t>
      </w:r>
    </w:p>
    <w:p w14:paraId="D7030000">
      <w:pPr>
        <w:pStyle w:val="Style_6"/>
        <w:widowControl w:val="1"/>
        <w:numPr>
          <w:ilvl w:val="0"/>
          <w:numId w:val="13"/>
        </w:numPr>
        <w:ind w:hanging="709" w:left="993"/>
      </w:pPr>
      <w:r>
        <w:t>Нагаева М.О., Скворцова А.И., Безкровная С.С.</w:t>
      </w:r>
      <w:r>
        <w:t xml:space="preserve"> </w:t>
      </w:r>
      <w:r>
        <w:t>Экспериментальное обоснование выбора пломбировочного материала при лечении кариеса корня</w:t>
      </w:r>
      <w:r>
        <w:t xml:space="preserve">. </w:t>
      </w:r>
      <w:r>
        <w:t>Проблемы стоматологии. 2015. № 5-6. С. 8-13</w:t>
      </w:r>
      <w:r>
        <w:t>.</w:t>
      </w:r>
    </w:p>
    <w:p w14:paraId="D8030000">
      <w:pPr>
        <w:pStyle w:val="Style_6"/>
        <w:widowControl w:val="1"/>
        <w:numPr>
          <w:ilvl w:val="0"/>
          <w:numId w:val="13"/>
        </w:numPr>
        <w:ind w:hanging="709" w:left="993"/>
      </w:pPr>
      <w:r>
        <w:t>Михайловский С.Г., Ломиашвили Л.М., Гилева О.С., Иванова Л.А., Полякова Е.Е.</w:t>
      </w:r>
      <w:r>
        <w:t xml:space="preserve"> </w:t>
      </w:r>
      <w:r>
        <w:t>Эффективность модульных технологий реконструктивной терапии зубов в критериях качества жизни стоматологического пациента</w:t>
      </w:r>
      <w:r>
        <w:t xml:space="preserve">. </w:t>
      </w:r>
      <w:r>
        <w:t>Институт стоматологии</w:t>
      </w:r>
      <w:r>
        <w:t>. 2018. </w:t>
      </w:r>
      <w:r>
        <w:t>№ 1 (78)</w:t>
      </w:r>
      <w:r>
        <w:t>. С. 42-45.</w:t>
      </w:r>
    </w:p>
    <w:p w14:paraId="D9030000">
      <w:pPr>
        <w:pStyle w:val="Style_6"/>
        <w:widowControl w:val="1"/>
        <w:numPr>
          <w:ilvl w:val="0"/>
          <w:numId w:val="13"/>
        </w:numPr>
        <w:ind w:hanging="709" w:left="993"/>
      </w:pPr>
      <w:r>
        <w:t>Х</w:t>
      </w:r>
      <w:r>
        <w:t>алявина И.Н., Гилева О.С., Пленкина Ю.А., Либик Т.В., Муравьева М.А., Городилова Е.А.</w:t>
      </w:r>
      <w:r>
        <w:t xml:space="preserve"> </w:t>
      </w:r>
      <w:r>
        <w:t>Возможности улучшения качества жизни больных гемофилией при эстетической реставрации зубов</w:t>
      </w:r>
      <w:r>
        <w:t xml:space="preserve">. </w:t>
      </w:r>
      <w:r>
        <w:t>Стоматология. 2012. Т. 91. № 2. С. 26-28.</w:t>
      </w:r>
    </w:p>
    <w:p w14:paraId="DA030000">
      <w:pPr>
        <w:pStyle w:val="Style_6"/>
        <w:widowControl w:val="1"/>
        <w:numPr>
          <w:ilvl w:val="0"/>
          <w:numId w:val="13"/>
        </w:numPr>
        <w:ind w:hanging="709" w:left="993"/>
      </w:pPr>
      <w:r>
        <w:t>Гильмияров Э.М., Арнаутов Б.П.</w:t>
      </w:r>
      <w:r>
        <w:t xml:space="preserve"> </w:t>
      </w:r>
      <w:r>
        <w:t>Динамика изменений качества жизни стоматологических пациентов при лечении кариеса аппроксимальных поверхностей боковой группы зубов</w:t>
      </w:r>
      <w:r>
        <w:t xml:space="preserve">. </w:t>
      </w:r>
      <w:r>
        <w:t>Известия Самарского научного центра Российской академии наук. 2015. Т. 17. № 5-3. С. 739-742.</w:t>
      </w:r>
    </w:p>
    <w:p w14:paraId="DB030000">
      <w:pPr>
        <w:widowControl w:val="1"/>
        <w:ind w:hanging="709" w:left="993"/>
      </w:pPr>
    </w:p>
    <w:p w14:paraId="DC030000">
      <w:bookmarkStart w:id="60" w:name="__RefHeading___37"/>
      <w:bookmarkEnd w:id="60"/>
      <w:pPr>
        <w:pStyle w:val="Style_16"/>
      </w:pPr>
      <w:r>
        <w:br w:type="page"/>
      </w:r>
      <w:bookmarkStart w:id="61" w:name="__RefHeading___doc_a1"/>
      <w:r>
        <w:t>Приложение А1. Состав рабочей группы</w:t>
      </w:r>
      <w:bookmarkEnd w:id="61"/>
    </w:p>
    <w:p w14:paraId="DD030000">
      <w:pPr>
        <w:pStyle w:val="Style_17"/>
      </w:pPr>
    </w:p>
    <w:p w14:paraId="DE030000">
      <w:r>
        <w:t>1. Митронин Александр Валентинович</w:t>
      </w:r>
      <w:r>
        <w:t>, профессор терапевтической стоматологии</w:t>
      </w:r>
      <w:r>
        <w:t xml:space="preserve"> и эндодонтии </w:t>
      </w:r>
      <w:r>
        <w:t xml:space="preserve">ФГБОУ ВО </w:t>
      </w:r>
      <w:r>
        <w:t>«Российский университет медицины»</w:t>
      </w:r>
      <w:r>
        <w:t xml:space="preserve"> Минздрава России, профессор, доктор медицинских наук.</w:t>
      </w:r>
    </w:p>
    <w:p w14:paraId="DF030000">
      <w:r>
        <w:t>Конфликт интересов: отсутствует.</w:t>
      </w:r>
    </w:p>
    <w:p w14:paraId="E0030000">
      <w:r>
        <w:t xml:space="preserve">2. Куваева Марина Николаевна, доцент </w:t>
      </w:r>
      <w:bookmarkStart w:id="62" w:name="_Hlk173663819"/>
      <w:r>
        <w:t xml:space="preserve">кафедры </w:t>
      </w:r>
      <w:r>
        <w:t>терапевтической стоматологии</w:t>
      </w:r>
      <w:r>
        <w:t xml:space="preserve"> и эндодонтии </w:t>
      </w:r>
      <w:r>
        <w:t xml:space="preserve">ФГБОУ ВО </w:t>
      </w:r>
      <w:r>
        <w:t>«Российский университет медицины»</w:t>
      </w:r>
      <w:r>
        <w:t xml:space="preserve"> Минздрава России</w:t>
      </w:r>
      <w:r>
        <w:t xml:space="preserve">» </w:t>
      </w:r>
      <w:r>
        <w:t xml:space="preserve">Минздрава России, </w:t>
      </w:r>
      <w:r>
        <w:t>кандидат</w:t>
      </w:r>
      <w:r>
        <w:t xml:space="preserve"> медицинских наук.</w:t>
      </w:r>
      <w:bookmarkEnd w:id="62"/>
    </w:p>
    <w:p w14:paraId="E1030000">
      <w:r>
        <w:t>Конфликт интересов: отсутствует.</w:t>
      </w:r>
    </w:p>
    <w:p w14:paraId="E2030000">
      <w:r>
        <w:t>3. Останина Диана Альбертовна,</w:t>
      </w:r>
      <w:r>
        <w:t xml:space="preserve"> </w:t>
      </w:r>
      <w:r>
        <w:t xml:space="preserve">доцент кафедры </w:t>
      </w:r>
      <w:r>
        <w:t>терапевтической стоматологии</w:t>
      </w:r>
      <w:r>
        <w:t xml:space="preserve"> и эндодонтии </w:t>
      </w:r>
      <w:r>
        <w:t xml:space="preserve">ФГБОУ ВО </w:t>
      </w:r>
      <w:r>
        <w:t>«Российский университет медицины»</w:t>
      </w:r>
      <w:r>
        <w:t xml:space="preserve"> Минздрава России</w:t>
      </w:r>
      <w:r>
        <w:t xml:space="preserve">» </w:t>
      </w:r>
      <w:r>
        <w:t xml:space="preserve">Минздрава России, </w:t>
      </w:r>
      <w:r>
        <w:t>кандидат</w:t>
      </w:r>
      <w:r>
        <w:t xml:space="preserve"> медицинских наук.</w:t>
      </w:r>
    </w:p>
    <w:p w14:paraId="E3030000">
      <w:r>
        <w:t>Конфликт интересов: отсутствует.</w:t>
      </w:r>
    </w:p>
    <w:p w14:paraId="E4030000">
      <w:r>
        <w:t>4</w:t>
      </w:r>
      <w:r>
        <w:t xml:space="preserve">.Заблоцкая Наталья Витальевна, ассистент кафедры </w:t>
      </w:r>
      <w:r>
        <w:t>терапевтической стоматологии</w:t>
      </w:r>
      <w:r>
        <w:t xml:space="preserve"> и эндодонтии </w:t>
      </w:r>
      <w:r>
        <w:t xml:space="preserve">ФГБОУ ВО </w:t>
      </w:r>
      <w:r>
        <w:t>«Российский университет медицины»</w:t>
      </w:r>
      <w:r>
        <w:t xml:space="preserve"> Минздрава России</w:t>
      </w:r>
      <w:r>
        <w:t xml:space="preserve">» </w:t>
      </w:r>
      <w:r>
        <w:t xml:space="preserve">Минздрава России, </w:t>
      </w:r>
      <w:r>
        <w:t>кандидат</w:t>
      </w:r>
      <w:r>
        <w:t xml:space="preserve"> медицинских наук.</w:t>
      </w:r>
    </w:p>
    <w:p w14:paraId="E5030000">
      <w:r>
        <w:t>Конфликт интересов: отсутствует.</w:t>
      </w:r>
    </w:p>
    <w:p w14:paraId="E6030000">
      <w:r>
        <w:t>5</w:t>
      </w:r>
      <w:r>
        <w:t xml:space="preserve">.Беляева Татьяна Сергеевна, ассистент кафедры </w:t>
      </w:r>
      <w:r>
        <w:t>терапевтической стоматологии</w:t>
      </w:r>
      <w:r>
        <w:t xml:space="preserve"> и эндодонтии </w:t>
      </w:r>
      <w:r>
        <w:t xml:space="preserve">ФГБОУ ВО </w:t>
      </w:r>
      <w:r>
        <w:t>«Российский университет медицины»</w:t>
      </w:r>
      <w:r>
        <w:t xml:space="preserve"> Минздрава России</w:t>
      </w:r>
      <w:r>
        <w:t xml:space="preserve">» </w:t>
      </w:r>
      <w:r>
        <w:t xml:space="preserve">Минздрава России, </w:t>
      </w:r>
      <w:r>
        <w:t>кандидат</w:t>
      </w:r>
      <w:r>
        <w:t xml:space="preserve"> медицинских наук.</w:t>
      </w:r>
      <w:bookmarkStart w:id="63" w:name="__RefHeading___doc_a2"/>
    </w:p>
    <w:p w14:paraId="E7030000">
      <w:bookmarkStart w:id="64" w:name="__RefHeading___38"/>
      <w:bookmarkEnd w:id="64"/>
      <w:pPr>
        <w:pStyle w:val="Style_16"/>
      </w:pPr>
      <w:r>
        <w:t>Приложение А2. Методология разработки клинических рекомендаций</w:t>
      </w:r>
      <w:bookmarkEnd w:id="63"/>
    </w:p>
    <w:p w14:paraId="E8030000">
      <w:pPr>
        <w:pStyle w:val="Style_17"/>
      </w:pPr>
      <w:r>
        <w:rPr>
          <w:rStyle w:val="Style_25_ch"/>
          <w:u w:val="single"/>
        </w:rPr>
        <w:t>Целевая аудитория данных клинических рекомендаций:</w:t>
      </w:r>
    </w:p>
    <w:p w14:paraId="E9030000">
      <w:pPr>
        <w:widowControl w:val="0"/>
        <w:ind/>
        <w:rPr>
          <w:rFonts w:ascii="Times New Roman CYR" w:hAnsi="Times New Roman CYR"/>
        </w:rPr>
      </w:pPr>
      <w:r>
        <w:t xml:space="preserve">1. </w:t>
      </w:r>
      <w:r>
        <w:rPr>
          <w:rFonts w:ascii="Times New Roman CYR" w:hAnsi="Times New Roman CYR"/>
        </w:rPr>
        <w:t>Врачи-стоматологи  31.0</w:t>
      </w:r>
      <w:r>
        <w:rPr>
          <w:rFonts w:ascii="Times New Roman CYR" w:hAnsi="Times New Roman CYR"/>
        </w:rPr>
        <w:t>5</w:t>
      </w:r>
      <w:r>
        <w:rPr>
          <w:rFonts w:ascii="Times New Roman CYR" w:hAnsi="Times New Roman CYR"/>
        </w:rPr>
        <w:t>.</w:t>
      </w:r>
      <w:r>
        <w:rPr>
          <w:rFonts w:ascii="Times New Roman CYR" w:hAnsi="Times New Roman CYR"/>
        </w:rPr>
        <w:t>03</w:t>
      </w:r>
    </w:p>
    <w:p w14:paraId="EA030000">
      <w:pPr>
        <w:widowControl w:val="0"/>
        <w:ind/>
        <w:rPr>
          <w:rFonts w:ascii="Times New Roman CYR" w:hAnsi="Times New Roman CYR"/>
        </w:rPr>
      </w:pPr>
      <w:r>
        <w:t xml:space="preserve">2. </w:t>
      </w:r>
      <w:r>
        <w:rPr>
          <w:rFonts w:ascii="Times New Roman CYR" w:hAnsi="Times New Roman CYR"/>
        </w:rPr>
        <w:t>Врачи-стоматологи общей практики 31.08.72</w:t>
      </w:r>
    </w:p>
    <w:p w14:paraId="EB030000">
      <w:pPr>
        <w:widowControl w:val="0"/>
        <w:ind/>
        <w:rPr>
          <w:rFonts w:ascii="Times New Roman CYR" w:hAnsi="Times New Roman CYR"/>
        </w:rPr>
      </w:pPr>
    </w:p>
    <w:p w14:paraId="EC030000">
      <w:pPr>
        <w:widowControl w:val="1"/>
        <w:spacing w:line="240" w:lineRule="auto"/>
        <w:ind/>
        <w:jc w:val="center"/>
        <w:rPr>
          <w:color w:themeColor="text1" w:val="000000"/>
        </w:rPr>
      </w:pPr>
      <w:r>
        <w:rPr>
          <w:b w:val="1"/>
          <w:color w:themeColor="text1" w:val="000000"/>
        </w:rPr>
        <w:t>1. Шкала оценки уровней достоверности доказательств (УДД)</w:t>
      </w:r>
    </w:p>
    <w:p w14:paraId="ED030000">
      <w:pPr>
        <w:widowControl w:val="1"/>
        <w:spacing w:line="240" w:lineRule="auto"/>
        <w:ind/>
        <w:jc w:val="center"/>
        <w:rPr>
          <w:color w:themeColor="text1" w:val="000000"/>
        </w:rPr>
      </w:pPr>
      <w:r>
        <w:rPr>
          <w:b w:val="1"/>
          <w:color w:themeColor="text1" w:val="000000"/>
        </w:rPr>
        <w:t>для методов диагностики (диагностических вмешательств)</w:t>
      </w:r>
    </w:p>
    <w:tbl>
      <w:tblPr>
        <w:tblStyle w:val="Style_20"/>
        <w:tblpPr w:bottomFromText="0" w:horzAnchor="margin" w:leftFromText="180" w:rightFromText="180" w:tblpXSpec="left" w:tblpY="195" w:topFromText="0" w:vertAnchor="text"/>
        <w:tblW w:type="auto" w:w="0"/>
        <w:tblLayout w:type="fixed"/>
        <w:tblCellMar>
          <w:left w:type="dxa" w:w="0"/>
          <w:right w:type="dxa" w:w="0"/>
        </w:tblCellMar>
      </w:tblPr>
      <w:tblGrid>
        <w:gridCol w:w="1227"/>
        <w:gridCol w:w="8246"/>
      </w:tblGrid>
      <w:tr>
        <w:trPr>
          <w:trHeight w:hRule="atLeast" w:val="307"/>
        </w:trPr>
        <w:tc>
          <w:tcPr>
            <w:tcW w:type="dxa" w:w="1227"/>
            <w:tcBorders>
              <w:top w:color="000000" w:sz="8" w:val="single"/>
              <w:left w:color="000000" w:sz="8" w:val="single"/>
              <w:bottom w:color="000000" w:sz="8" w:val="single"/>
              <w:right w:color="000000" w:sz="8" w:val="single"/>
            </w:tcBorders>
            <w:tcMar>
              <w:left w:type="dxa" w:w="0"/>
              <w:right w:type="dxa" w:w="0"/>
            </w:tcMar>
          </w:tcPr>
          <w:p w14:paraId="EE030000">
            <w:pPr>
              <w:widowControl w:val="1"/>
              <w:spacing w:line="240" w:lineRule="auto"/>
              <w:ind/>
              <w:rPr>
                <w:color w:themeColor="text1" w:val="000000"/>
              </w:rPr>
            </w:pPr>
            <w:r>
              <w:rPr>
                <w:color w:themeColor="text1" w:val="000000"/>
              </w:rPr>
              <w:t>УДД</w:t>
            </w:r>
          </w:p>
        </w:tc>
        <w:tc>
          <w:tcPr>
            <w:tcW w:type="dxa" w:w="8246"/>
            <w:tcBorders>
              <w:top w:color="000000" w:sz="8" w:val="single"/>
              <w:left w:color="000000" w:sz="8" w:val="single"/>
              <w:bottom w:color="000000" w:sz="8" w:val="single"/>
              <w:right w:color="000000" w:sz="8" w:val="single"/>
            </w:tcBorders>
            <w:tcMar>
              <w:left w:type="dxa" w:w="0"/>
              <w:right w:type="dxa" w:w="0"/>
            </w:tcMar>
          </w:tcPr>
          <w:p w14:paraId="EF030000">
            <w:pPr>
              <w:widowControl w:val="1"/>
              <w:spacing w:line="240" w:lineRule="auto"/>
              <w:ind/>
              <w:rPr>
                <w:color w:themeColor="text1" w:val="000000"/>
              </w:rPr>
            </w:pPr>
            <w:r>
              <w:rPr>
                <w:color w:themeColor="text1" w:val="000000"/>
              </w:rPr>
              <w:t>Расшифровка</w:t>
            </w:r>
          </w:p>
        </w:tc>
      </w:tr>
      <w:tr>
        <w:trPr>
          <w:trHeight w:hRule="atLeast" w:val="937"/>
        </w:trPr>
        <w:tc>
          <w:tcPr>
            <w:tcW w:type="dxa" w:w="1227"/>
            <w:tcBorders>
              <w:top w:color="000000" w:sz="8" w:val="single"/>
              <w:left w:color="000000" w:sz="8" w:val="single"/>
              <w:bottom w:color="000000" w:sz="8" w:val="single"/>
              <w:right w:color="000000" w:sz="8" w:val="single"/>
            </w:tcBorders>
            <w:tcMar>
              <w:left w:type="dxa" w:w="0"/>
              <w:right w:type="dxa" w:w="0"/>
            </w:tcMar>
          </w:tcPr>
          <w:p w14:paraId="F0030000">
            <w:pPr>
              <w:widowControl w:val="1"/>
              <w:spacing w:line="240" w:lineRule="auto"/>
              <w:ind/>
              <w:rPr>
                <w:color w:themeColor="text1" w:val="000000"/>
              </w:rPr>
            </w:pPr>
            <w:r>
              <w:rPr>
                <w:color w:themeColor="text1" w:val="000000"/>
              </w:rPr>
              <w:t>1.</w:t>
            </w:r>
          </w:p>
        </w:tc>
        <w:tc>
          <w:tcPr>
            <w:tcW w:type="dxa" w:w="8246"/>
            <w:tcBorders>
              <w:top w:color="000000" w:sz="8" w:val="single"/>
              <w:left w:color="000000" w:sz="8" w:val="single"/>
              <w:bottom w:color="000000" w:sz="8" w:val="single"/>
              <w:right w:color="000000" w:sz="8" w:val="single"/>
            </w:tcBorders>
            <w:tcMar>
              <w:left w:type="dxa" w:w="0"/>
              <w:right w:type="dxa" w:w="0"/>
            </w:tcMar>
          </w:tcPr>
          <w:p w14:paraId="F1030000">
            <w:pPr>
              <w:widowControl w:val="1"/>
              <w:spacing w:line="288" w:lineRule="atLeast"/>
              <w:ind/>
              <w:rPr>
                <w:color w:themeColor="text1" w:val="000000"/>
              </w:rPr>
            </w:pPr>
            <w:r>
              <w:rPr>
                <w:color w:themeColor="text1" w:val="000000"/>
              </w:rP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trPr>
          <w:trHeight w:hRule="atLeast" w:val="1245"/>
        </w:trPr>
        <w:tc>
          <w:tcPr>
            <w:tcW w:type="dxa" w:w="1227"/>
            <w:tcBorders>
              <w:top w:color="000000" w:sz="8" w:val="single"/>
              <w:left w:color="000000" w:sz="8" w:val="single"/>
              <w:bottom w:color="000000" w:sz="8" w:val="single"/>
              <w:right w:color="000000" w:sz="8" w:val="single"/>
            </w:tcBorders>
            <w:tcMar>
              <w:left w:type="dxa" w:w="0"/>
              <w:right w:type="dxa" w:w="0"/>
            </w:tcMar>
          </w:tcPr>
          <w:p w14:paraId="F2030000">
            <w:pPr>
              <w:widowControl w:val="1"/>
              <w:spacing w:line="240" w:lineRule="auto"/>
              <w:ind/>
              <w:rPr>
                <w:color w:themeColor="text1" w:val="000000"/>
              </w:rPr>
            </w:pPr>
            <w:r>
              <w:rPr>
                <w:color w:themeColor="text1" w:val="000000"/>
              </w:rPr>
              <w:t>2.</w:t>
            </w:r>
          </w:p>
        </w:tc>
        <w:tc>
          <w:tcPr>
            <w:tcW w:type="dxa" w:w="8246"/>
            <w:tcBorders>
              <w:top w:color="000000" w:sz="8" w:val="single"/>
              <w:left w:color="000000" w:sz="8" w:val="single"/>
              <w:bottom w:color="000000" w:sz="8" w:val="single"/>
              <w:right w:color="000000" w:sz="8" w:val="single"/>
            </w:tcBorders>
            <w:tcMar>
              <w:left w:type="dxa" w:w="0"/>
              <w:right w:type="dxa" w:w="0"/>
            </w:tcMar>
          </w:tcPr>
          <w:p w14:paraId="F3030000">
            <w:pPr>
              <w:widowControl w:val="1"/>
              <w:spacing w:line="288" w:lineRule="atLeast"/>
              <w:ind/>
              <w:rPr>
                <w:color w:themeColor="text1" w:val="000000"/>
              </w:rPr>
            </w:pPr>
            <w:r>
              <w:rPr>
                <w:color w:themeColor="text1" w:val="000000"/>
              </w:rP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trPr>
          <w:trHeight w:hRule="atLeast" w:val="1245"/>
        </w:trPr>
        <w:tc>
          <w:tcPr>
            <w:tcW w:type="dxa" w:w="1227"/>
            <w:tcBorders>
              <w:top w:color="000000" w:sz="8" w:val="single"/>
              <w:left w:color="000000" w:sz="8" w:val="single"/>
              <w:bottom w:color="000000" w:sz="8" w:val="single"/>
              <w:right w:color="000000" w:sz="8" w:val="single"/>
            </w:tcBorders>
            <w:tcMar>
              <w:left w:type="dxa" w:w="0"/>
              <w:right w:type="dxa" w:w="0"/>
            </w:tcMar>
          </w:tcPr>
          <w:p w14:paraId="F4030000">
            <w:pPr>
              <w:widowControl w:val="1"/>
              <w:spacing w:line="240" w:lineRule="auto"/>
              <w:ind/>
              <w:rPr>
                <w:color w:themeColor="text1" w:val="000000"/>
              </w:rPr>
            </w:pPr>
            <w:r>
              <w:rPr>
                <w:color w:themeColor="text1" w:val="000000"/>
              </w:rPr>
              <w:t>3.</w:t>
            </w:r>
          </w:p>
        </w:tc>
        <w:tc>
          <w:tcPr>
            <w:tcW w:type="dxa" w:w="8246"/>
            <w:tcBorders>
              <w:top w:color="000000" w:sz="8" w:val="single"/>
              <w:left w:color="000000" w:sz="8" w:val="single"/>
              <w:bottom w:color="000000" w:sz="8" w:val="single"/>
              <w:right w:color="000000" w:sz="8" w:val="single"/>
            </w:tcBorders>
            <w:tcMar>
              <w:left w:type="dxa" w:w="0"/>
              <w:right w:type="dxa" w:w="0"/>
            </w:tcMar>
          </w:tcPr>
          <w:p w14:paraId="F5030000">
            <w:pPr>
              <w:widowControl w:val="1"/>
              <w:spacing w:line="288" w:lineRule="atLeast"/>
              <w:ind/>
              <w:rPr>
                <w:color w:themeColor="text1" w:val="000000"/>
              </w:rPr>
            </w:pPr>
            <w:r>
              <w:rPr>
                <w:color w:themeColor="text1" w:val="000000"/>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trPr>
          <w:trHeight w:hRule="atLeast" w:val="322"/>
        </w:trPr>
        <w:tc>
          <w:tcPr>
            <w:tcW w:type="dxa" w:w="1227"/>
            <w:tcBorders>
              <w:top w:color="000000" w:sz="8" w:val="single"/>
              <w:left w:color="000000" w:sz="8" w:val="single"/>
              <w:bottom w:color="000000" w:sz="8" w:val="single"/>
              <w:right w:color="000000" w:sz="8" w:val="single"/>
            </w:tcBorders>
            <w:tcMar>
              <w:left w:type="dxa" w:w="0"/>
              <w:right w:type="dxa" w:w="0"/>
            </w:tcMar>
          </w:tcPr>
          <w:p w14:paraId="F6030000">
            <w:pPr>
              <w:widowControl w:val="1"/>
              <w:spacing w:line="240" w:lineRule="auto"/>
              <w:ind/>
              <w:rPr>
                <w:color w:themeColor="text1" w:val="000000"/>
              </w:rPr>
            </w:pPr>
            <w:r>
              <w:rPr>
                <w:color w:themeColor="text1" w:val="000000"/>
              </w:rPr>
              <w:t>4.</w:t>
            </w:r>
          </w:p>
        </w:tc>
        <w:tc>
          <w:tcPr>
            <w:tcW w:type="dxa" w:w="8246"/>
            <w:tcBorders>
              <w:top w:color="000000" w:sz="8" w:val="single"/>
              <w:left w:color="000000" w:sz="8" w:val="single"/>
              <w:bottom w:color="000000" w:sz="8" w:val="single"/>
              <w:right w:color="000000" w:sz="8" w:val="single"/>
            </w:tcBorders>
            <w:tcMar>
              <w:left w:type="dxa" w:w="0"/>
              <w:right w:type="dxa" w:w="0"/>
            </w:tcMar>
          </w:tcPr>
          <w:p w14:paraId="F7030000">
            <w:pPr>
              <w:widowControl w:val="1"/>
              <w:spacing w:line="288" w:lineRule="atLeast"/>
              <w:ind/>
              <w:rPr>
                <w:color w:themeColor="text1" w:val="000000"/>
              </w:rPr>
            </w:pPr>
            <w:r>
              <w:rPr>
                <w:color w:themeColor="text1" w:val="000000"/>
              </w:rPr>
              <w:t>Несравнительные исследования, описание клинического случая</w:t>
            </w:r>
          </w:p>
        </w:tc>
      </w:tr>
      <w:tr>
        <w:trPr>
          <w:trHeight w:hRule="atLeast" w:val="322"/>
        </w:trPr>
        <w:tc>
          <w:tcPr>
            <w:tcW w:type="dxa" w:w="1227"/>
            <w:tcBorders>
              <w:top w:color="000000" w:sz="8" w:val="single"/>
              <w:left w:color="000000" w:sz="8" w:val="single"/>
              <w:bottom w:color="000000" w:sz="8" w:val="single"/>
              <w:right w:color="000000" w:sz="8" w:val="single"/>
            </w:tcBorders>
            <w:tcMar>
              <w:left w:type="dxa" w:w="0"/>
              <w:right w:type="dxa" w:w="0"/>
            </w:tcMar>
          </w:tcPr>
          <w:p w14:paraId="F8030000">
            <w:pPr>
              <w:widowControl w:val="1"/>
              <w:spacing w:line="240" w:lineRule="auto"/>
              <w:ind/>
              <w:rPr>
                <w:color w:themeColor="text1" w:val="000000"/>
              </w:rPr>
            </w:pPr>
            <w:r>
              <w:rPr>
                <w:color w:themeColor="text1" w:val="000000"/>
              </w:rPr>
              <w:t>5.</w:t>
            </w:r>
          </w:p>
        </w:tc>
        <w:tc>
          <w:tcPr>
            <w:tcW w:type="dxa" w:w="8246"/>
            <w:tcBorders>
              <w:top w:color="000000" w:sz="8" w:val="single"/>
              <w:left w:color="000000" w:sz="8" w:val="single"/>
              <w:bottom w:color="000000" w:sz="8" w:val="single"/>
              <w:right w:color="000000" w:sz="8" w:val="single"/>
            </w:tcBorders>
            <w:tcMar>
              <w:left w:type="dxa" w:w="0"/>
              <w:right w:type="dxa" w:w="0"/>
            </w:tcMar>
          </w:tcPr>
          <w:p w14:paraId="F9030000">
            <w:pPr>
              <w:widowControl w:val="1"/>
              <w:spacing w:line="288" w:lineRule="atLeast"/>
              <w:ind/>
              <w:rPr>
                <w:color w:themeColor="text1" w:val="000000"/>
              </w:rPr>
            </w:pPr>
            <w:r>
              <w:rPr>
                <w:color w:themeColor="text1" w:val="000000"/>
              </w:rPr>
              <w:t>Имеется лишь обоснование механизма действия или мнение экспертов</w:t>
            </w:r>
          </w:p>
        </w:tc>
      </w:tr>
    </w:tbl>
    <w:p w14:paraId="FA030000">
      <w:pPr>
        <w:widowControl w:val="1"/>
        <w:spacing w:line="240" w:lineRule="auto"/>
        <w:ind w:left="1069"/>
        <w:contextualSpacing w:val="1"/>
        <w:rPr>
          <w:color w:themeColor="text1" w:val="000000"/>
        </w:rPr>
      </w:pPr>
    </w:p>
    <w:p w14:paraId="FB030000">
      <w:pPr>
        <w:pStyle w:val="Style_2"/>
        <w:rPr>
          <w:rStyle w:val="Style_25_ch"/>
        </w:rPr>
      </w:pPr>
    </w:p>
    <w:p w14:paraId="FC030000">
      <w:pPr>
        <w:widowControl w:val="1"/>
        <w:spacing w:line="240" w:lineRule="auto"/>
        <w:ind/>
        <w:jc w:val="center"/>
        <w:rPr>
          <w:color w:themeColor="text1" w:val="000000"/>
        </w:rPr>
      </w:pPr>
      <w:r>
        <w:rPr>
          <w:rStyle w:val="Style_25_ch"/>
        </w:rPr>
        <w:t> </w:t>
      </w:r>
      <w:r>
        <w:rPr>
          <w:b w:val="1"/>
          <w:color w:themeColor="text1" w:val="000000"/>
        </w:rPr>
        <w:t>2. Шкала оценки уровней достоверности доказательств (УДД)</w:t>
      </w:r>
    </w:p>
    <w:p w14:paraId="FD030000">
      <w:pPr>
        <w:widowControl w:val="1"/>
        <w:spacing w:line="240" w:lineRule="auto"/>
        <w:ind/>
        <w:jc w:val="center"/>
        <w:rPr>
          <w:color w:themeColor="text1" w:val="000000"/>
        </w:rPr>
      </w:pPr>
      <w:r>
        <w:rPr>
          <w:b w:val="1"/>
          <w:color w:themeColor="text1" w:val="000000"/>
        </w:rPr>
        <w:t>для методов профилактики, лечения, медицинской реабилитации,</w:t>
      </w:r>
    </w:p>
    <w:p w14:paraId="FE030000">
      <w:pPr>
        <w:widowControl w:val="1"/>
        <w:spacing w:line="240" w:lineRule="auto"/>
        <w:ind/>
        <w:jc w:val="center"/>
        <w:rPr>
          <w:color w:themeColor="text1" w:val="000000"/>
        </w:rPr>
      </w:pPr>
      <w:r>
        <w:rPr>
          <w:b w:val="1"/>
          <w:color w:themeColor="text1" w:val="000000"/>
        </w:rPr>
        <w:t>в том числе основанных на использовании природных лечебных</w:t>
      </w:r>
    </w:p>
    <w:p w14:paraId="FF030000">
      <w:pPr>
        <w:widowControl w:val="1"/>
        <w:spacing w:line="240" w:lineRule="auto"/>
        <w:ind/>
        <w:jc w:val="center"/>
        <w:rPr>
          <w:color w:themeColor="text1" w:val="000000"/>
        </w:rPr>
      </w:pPr>
      <w:r>
        <w:rPr>
          <w:b w:val="1"/>
          <w:color w:themeColor="text1" w:val="000000"/>
        </w:rPr>
        <w:t>факторов (профилактических, лечебных, реабилитационных</w:t>
      </w:r>
    </w:p>
    <w:p w14:paraId="00040000">
      <w:pPr>
        <w:widowControl w:val="1"/>
        <w:spacing w:line="240" w:lineRule="auto"/>
        <w:ind/>
        <w:jc w:val="center"/>
        <w:rPr>
          <w:color w:themeColor="text1" w:val="000000"/>
        </w:rPr>
      </w:pPr>
      <w:r>
        <w:rPr>
          <w:b w:val="1"/>
          <w:color w:themeColor="text1" w:val="000000"/>
        </w:rPr>
        <w:t>вмешательств)</w:t>
      </w:r>
    </w:p>
    <w:p w14:paraId="01040000">
      <w:pPr>
        <w:widowControl w:val="1"/>
        <w:spacing w:line="240" w:lineRule="auto"/>
        <w:ind/>
        <w:jc w:val="center"/>
        <w:rPr>
          <w:color w:themeColor="text1" w:val="000000"/>
        </w:rPr>
      </w:pPr>
      <w:r>
        <w:rPr>
          <w:color w:themeColor="text1" w:val="000000"/>
        </w:rPr>
        <w:t>(в ред. </w:t>
      </w:r>
      <w:r>
        <w:rPr>
          <w:color w:themeColor="text1" w:val="000000"/>
          <w:u w:val="single"/>
        </w:rPr>
        <w:fldChar w:fldCharType="begin"/>
      </w:r>
      <w:r>
        <w:rPr>
          <w:color w:themeColor="text1" w:val="000000"/>
          <w:u w:val="single"/>
        </w:rPr>
        <w:instrText>HYPERLINK "http://www.consultant.ru/cons/cgi/online.cgi?rnd=202AE5008FFCE22ABFB588C071985DCE&amp;req=doc&amp;base=LAW&amp;n=358217&amp;dst=100040&amp;fld=134&amp;REFFIELD=134&amp;REFDST=1000000149&amp;REFDOC=358259&amp;REFBASE=LAW&amp;stat=refcode%3D19827%3Bdstident%3D100040%3Bindex%3D306"</w:instrText>
      </w:r>
      <w:r>
        <w:rPr>
          <w:color w:themeColor="text1" w:val="000000"/>
          <w:u w:val="single"/>
        </w:rPr>
        <w:fldChar w:fldCharType="separate"/>
      </w:r>
      <w:r>
        <w:rPr>
          <w:color w:themeColor="text1" w:val="000000"/>
          <w:u w:val="single"/>
        </w:rPr>
        <w:t>Приказа</w:t>
      </w:r>
      <w:r>
        <w:rPr>
          <w:color w:themeColor="text1" w:val="000000"/>
          <w:u w:val="single"/>
        </w:rPr>
        <w:fldChar w:fldCharType="end"/>
      </w:r>
      <w:r>
        <w:rPr>
          <w:color w:themeColor="text1" w:val="000000"/>
        </w:rPr>
        <w:t> Минздрава России от 23.06.2020 N 617н)</w:t>
      </w:r>
    </w:p>
    <w:p w14:paraId="02040000">
      <w:pPr>
        <w:widowControl w:val="1"/>
        <w:spacing w:line="418" w:lineRule="atLeast"/>
        <w:ind/>
        <w:jc w:val="center"/>
        <w:rPr>
          <w:color w:themeColor="text1" w:val="000000"/>
        </w:rPr>
      </w:pPr>
      <w:r>
        <w:rPr>
          <w:color w:themeColor="text1" w:val="000000"/>
        </w:rPr>
        <w:t>(см. текст в предыдущей </w:t>
      </w:r>
      <w:r>
        <w:rPr>
          <w:color w:themeColor="text1" w:val="000000"/>
          <w:u w:val="single"/>
        </w:rPr>
        <w:fldChar w:fldCharType="begin"/>
      </w:r>
      <w:r>
        <w:rPr>
          <w:color w:themeColor="text1" w:val="000000"/>
          <w:u w:val="single"/>
        </w:rPr>
        <w:instrText>HYPERLINK "http://www.consultant.ru/cons/cgi/online.cgi?rnd=202AE5008FFCE22ABFB588C071985DCE&amp;req=doc&amp;base=LAW&amp;n=324276&amp;div=LAW&amp;diff=358259&amp;from=358259-307"</w:instrText>
      </w:r>
      <w:r>
        <w:rPr>
          <w:color w:themeColor="text1" w:val="000000"/>
          <w:u w:val="single"/>
        </w:rPr>
        <w:fldChar w:fldCharType="separate"/>
      </w:r>
      <w:r>
        <w:rPr>
          <w:color w:themeColor="text1" w:val="000000"/>
          <w:u w:val="single"/>
        </w:rPr>
        <w:t>редакции</w:t>
      </w:r>
      <w:r>
        <w:rPr>
          <w:color w:themeColor="text1" w:val="000000"/>
          <w:u w:val="single"/>
        </w:rPr>
        <w:fldChar w:fldCharType="end"/>
      </w:r>
      <w:r>
        <w:rPr>
          <w:color w:themeColor="text1" w:val="000000"/>
        </w:rPr>
        <w:t>)</w:t>
      </w:r>
    </w:p>
    <w:p w14:paraId="03040000">
      <w:pPr>
        <w:widowControl w:val="1"/>
        <w:spacing w:line="288" w:lineRule="atLeast"/>
        <w:ind/>
        <w:rPr>
          <w:color w:themeColor="text1" w:val="000000"/>
          <w:sz w:val="30"/>
        </w:rPr>
      </w:pPr>
      <w:r>
        <w:rPr>
          <w:color w:themeColor="text1" w:val="000000"/>
          <w:sz w:val="30"/>
        </w:rPr>
        <w:t> </w:t>
      </w:r>
    </w:p>
    <w:tbl>
      <w:tblPr>
        <w:tblStyle w:val="Style_20"/>
        <w:tblW w:type="auto" w:w="0"/>
        <w:tblInd w:type="dxa" w:w="20"/>
        <w:tblLayout w:type="fixed"/>
        <w:tblCellMar>
          <w:left w:type="dxa" w:w="0"/>
          <w:right w:type="dxa" w:w="0"/>
        </w:tblCellMar>
      </w:tblPr>
      <w:tblGrid>
        <w:gridCol w:w="1227"/>
        <w:gridCol w:w="8219"/>
      </w:tblGrid>
      <w:tr>
        <w:trPr>
          <w:trHeight w:hRule="atLeast" w:val="326"/>
        </w:trPr>
        <w:tc>
          <w:tcPr>
            <w:tcW w:type="dxa" w:w="1227"/>
            <w:tcBorders>
              <w:top w:color="000000" w:sz="8" w:val="single"/>
              <w:left w:color="000000" w:sz="8" w:val="single"/>
              <w:bottom w:color="000000" w:sz="8" w:val="single"/>
              <w:right w:color="000000" w:sz="8" w:val="single"/>
            </w:tcBorders>
            <w:tcMar>
              <w:left w:type="dxa" w:w="0"/>
              <w:right w:type="dxa" w:w="0"/>
            </w:tcMar>
          </w:tcPr>
          <w:p w14:paraId="04040000">
            <w:pPr>
              <w:widowControl w:val="1"/>
              <w:spacing w:line="240" w:lineRule="auto"/>
              <w:ind/>
              <w:jc w:val="center"/>
              <w:rPr>
                <w:color w:themeColor="text1" w:val="000000"/>
              </w:rPr>
            </w:pPr>
            <w:r>
              <w:rPr>
                <w:color w:themeColor="text1" w:val="000000"/>
              </w:rPr>
              <w:t>УДД</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5040000">
            <w:pPr>
              <w:widowControl w:val="1"/>
              <w:spacing w:line="240" w:lineRule="auto"/>
              <w:ind/>
              <w:jc w:val="center"/>
              <w:rPr>
                <w:color w:themeColor="text1" w:val="000000"/>
              </w:rPr>
            </w:pPr>
            <w:r>
              <w:rPr>
                <w:color w:themeColor="text1" w:val="000000"/>
              </w:rPr>
              <w:t>Расшифровка</w:t>
            </w:r>
          </w:p>
        </w:tc>
      </w:tr>
      <w:tr>
        <w:trPr>
          <w:trHeight w:hRule="atLeast" w:val="61"/>
        </w:trPr>
        <w:tc>
          <w:tcPr>
            <w:tcW w:type="dxa" w:w="1227"/>
            <w:tcBorders>
              <w:top w:color="000000" w:sz="8" w:val="single"/>
              <w:left w:color="000000" w:sz="8" w:val="single"/>
              <w:bottom w:color="000000" w:sz="8" w:val="single"/>
              <w:right w:color="000000" w:sz="8" w:val="single"/>
            </w:tcBorders>
            <w:tcMar>
              <w:left w:type="dxa" w:w="0"/>
              <w:right w:type="dxa" w:w="0"/>
            </w:tcMar>
          </w:tcPr>
          <w:p w14:paraId="06040000">
            <w:pPr>
              <w:widowControl w:val="1"/>
              <w:spacing w:line="240" w:lineRule="auto"/>
              <w:ind/>
              <w:jc w:val="center"/>
              <w:rPr>
                <w:color w:themeColor="text1" w:val="000000"/>
              </w:rPr>
            </w:pPr>
            <w:r>
              <w:rPr>
                <w:color w:themeColor="text1" w:val="000000"/>
              </w:rPr>
              <w:t>1.</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7040000">
            <w:pPr>
              <w:widowControl w:val="1"/>
              <w:spacing w:line="288" w:lineRule="atLeast"/>
              <w:ind/>
              <w:rPr>
                <w:color w:themeColor="text1" w:val="000000"/>
              </w:rPr>
            </w:pPr>
            <w:r>
              <w:rPr>
                <w:color w:themeColor="text1" w:val="000000"/>
              </w:rPr>
              <w:t>Систематический обзор рандомизированных клинических исследований с применением мета-анализа</w:t>
            </w:r>
          </w:p>
        </w:tc>
      </w:tr>
      <w:tr>
        <w:trPr>
          <w:trHeight w:hRule="atLeast" w:val="994"/>
        </w:trPr>
        <w:tc>
          <w:tcPr>
            <w:tcW w:type="dxa" w:w="1227"/>
            <w:tcBorders>
              <w:top w:color="000000" w:sz="8" w:val="single"/>
              <w:left w:color="000000" w:sz="8" w:val="single"/>
              <w:bottom w:color="000000" w:sz="8" w:val="single"/>
              <w:right w:color="000000" w:sz="8" w:val="single"/>
            </w:tcBorders>
            <w:tcMar>
              <w:left w:type="dxa" w:w="0"/>
              <w:right w:type="dxa" w:w="0"/>
            </w:tcMar>
          </w:tcPr>
          <w:p w14:paraId="08040000">
            <w:pPr>
              <w:widowControl w:val="1"/>
              <w:spacing w:line="240" w:lineRule="auto"/>
              <w:ind/>
              <w:jc w:val="center"/>
              <w:rPr>
                <w:color w:themeColor="text1" w:val="000000"/>
              </w:rPr>
            </w:pPr>
            <w:r>
              <w:rPr>
                <w:color w:themeColor="text1" w:val="000000"/>
              </w:rPr>
              <w:t>2.</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9040000">
            <w:pPr>
              <w:widowControl w:val="1"/>
              <w:spacing w:line="288" w:lineRule="atLeast"/>
              <w:ind/>
              <w:rPr>
                <w:color w:themeColor="text1" w:val="000000"/>
              </w:rPr>
            </w:pPr>
            <w:r>
              <w:rPr>
                <w:color w:themeColor="text1" w:val="000000"/>
              </w:rP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trPr>
          <w:trHeight w:hRule="atLeast" w:val="342"/>
        </w:trPr>
        <w:tc>
          <w:tcPr>
            <w:tcW w:type="dxa" w:w="1227"/>
            <w:tcBorders>
              <w:top w:color="000000" w:sz="8" w:val="single"/>
              <w:left w:color="000000" w:sz="8" w:val="single"/>
              <w:bottom w:color="000000" w:sz="8" w:val="single"/>
              <w:right w:color="000000" w:sz="8" w:val="single"/>
            </w:tcBorders>
            <w:tcMar>
              <w:left w:type="dxa" w:w="0"/>
              <w:right w:type="dxa" w:w="0"/>
            </w:tcMar>
          </w:tcPr>
          <w:p w14:paraId="0A040000">
            <w:pPr>
              <w:widowControl w:val="1"/>
              <w:spacing w:line="240" w:lineRule="auto"/>
              <w:ind/>
              <w:jc w:val="center"/>
              <w:rPr>
                <w:color w:themeColor="text1" w:val="000000"/>
              </w:rPr>
            </w:pPr>
            <w:r>
              <w:rPr>
                <w:color w:themeColor="text1" w:val="000000"/>
              </w:rPr>
              <w:t>3.</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B040000">
            <w:pPr>
              <w:widowControl w:val="1"/>
              <w:spacing w:line="288" w:lineRule="atLeast"/>
              <w:ind/>
              <w:rPr>
                <w:color w:themeColor="text1" w:val="000000"/>
              </w:rPr>
            </w:pPr>
            <w:r>
              <w:rPr>
                <w:color w:themeColor="text1" w:val="000000"/>
              </w:rPr>
              <w:t>Нерандомизированные сравнительные исследования, в том числе когортные исследования</w:t>
            </w:r>
          </w:p>
        </w:tc>
      </w:tr>
      <w:tr>
        <w:trPr>
          <w:trHeight w:hRule="atLeast" w:val="668"/>
        </w:trPr>
        <w:tc>
          <w:tcPr>
            <w:tcW w:type="dxa" w:w="1227"/>
            <w:tcBorders>
              <w:top w:color="000000" w:sz="8" w:val="single"/>
              <w:left w:color="000000" w:sz="8" w:val="single"/>
              <w:bottom w:color="000000" w:sz="8" w:val="single"/>
              <w:right w:color="000000" w:sz="8" w:val="single"/>
            </w:tcBorders>
            <w:tcMar>
              <w:left w:type="dxa" w:w="0"/>
              <w:right w:type="dxa" w:w="0"/>
            </w:tcMar>
          </w:tcPr>
          <w:p w14:paraId="0C040000">
            <w:pPr>
              <w:widowControl w:val="1"/>
              <w:spacing w:line="240" w:lineRule="auto"/>
              <w:ind/>
              <w:jc w:val="center"/>
              <w:rPr>
                <w:color w:themeColor="text1" w:val="000000"/>
              </w:rPr>
            </w:pPr>
            <w:r>
              <w:rPr>
                <w:color w:themeColor="text1" w:val="000000"/>
              </w:rPr>
              <w:t>4.</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D040000">
            <w:pPr>
              <w:widowControl w:val="1"/>
              <w:spacing w:line="288" w:lineRule="atLeast"/>
              <w:ind/>
              <w:rPr>
                <w:color w:themeColor="text1" w:val="000000"/>
              </w:rPr>
            </w:pPr>
            <w:r>
              <w:rPr>
                <w:color w:themeColor="text1" w:val="000000"/>
              </w:rPr>
              <w:t>Несравнительные исследования, описание клинического случая или серии случаев, исследование "случай-контроль"</w:t>
            </w:r>
          </w:p>
        </w:tc>
      </w:tr>
      <w:tr>
        <w:trPr>
          <w:trHeight w:hRule="atLeast" w:val="668"/>
        </w:trPr>
        <w:tc>
          <w:tcPr>
            <w:tcW w:type="dxa" w:w="1227"/>
            <w:tcBorders>
              <w:top w:color="000000" w:sz="8" w:val="single"/>
              <w:left w:color="000000" w:sz="8" w:val="single"/>
              <w:bottom w:color="000000" w:sz="8" w:val="single"/>
              <w:right w:color="000000" w:sz="8" w:val="single"/>
            </w:tcBorders>
            <w:tcMar>
              <w:left w:type="dxa" w:w="0"/>
              <w:right w:type="dxa" w:w="0"/>
            </w:tcMar>
          </w:tcPr>
          <w:p w14:paraId="0E040000">
            <w:pPr>
              <w:widowControl w:val="1"/>
              <w:spacing w:line="240" w:lineRule="auto"/>
              <w:ind/>
              <w:jc w:val="center"/>
              <w:rPr>
                <w:color w:themeColor="text1" w:val="000000"/>
              </w:rPr>
            </w:pPr>
            <w:r>
              <w:rPr>
                <w:color w:themeColor="text1" w:val="000000"/>
              </w:rPr>
              <w:t>5.</w:t>
            </w:r>
          </w:p>
        </w:tc>
        <w:tc>
          <w:tcPr>
            <w:tcW w:type="dxa" w:w="8219"/>
            <w:tcBorders>
              <w:top w:color="000000" w:sz="8" w:val="single"/>
              <w:left w:color="000000" w:sz="8" w:val="single"/>
              <w:bottom w:color="000000" w:sz="8" w:val="single"/>
              <w:right w:color="000000" w:sz="8" w:val="single"/>
            </w:tcBorders>
            <w:tcMar>
              <w:left w:type="dxa" w:w="0"/>
              <w:right w:type="dxa" w:w="0"/>
            </w:tcMar>
          </w:tcPr>
          <w:p w14:paraId="0F040000">
            <w:pPr>
              <w:widowControl w:val="1"/>
              <w:spacing w:line="288" w:lineRule="atLeast"/>
              <w:ind/>
              <w:rPr>
                <w:color w:themeColor="text1" w:val="000000"/>
              </w:rPr>
            </w:pPr>
            <w:r>
              <w:rPr>
                <w:color w:themeColor="text1" w:val="000000"/>
              </w:rPr>
              <w:t>Имеется лишь обоснование механизма действия вмешательства (доклинические исследования) или мнение экспертов</w:t>
            </w:r>
          </w:p>
        </w:tc>
      </w:tr>
    </w:tbl>
    <w:p w14:paraId="10040000">
      <w:pPr>
        <w:pStyle w:val="Style_2"/>
        <w:rPr>
          <w:rStyle w:val="Style_25_ch"/>
        </w:rPr>
      </w:pPr>
    </w:p>
    <w:p w14:paraId="11040000">
      <w:pPr>
        <w:widowControl w:val="1"/>
        <w:spacing w:line="240" w:lineRule="auto"/>
        <w:ind/>
        <w:jc w:val="center"/>
        <w:rPr>
          <w:color w:themeColor="text1" w:val="000000"/>
        </w:rPr>
      </w:pPr>
      <w:r>
        <w:rPr>
          <w:b w:val="1"/>
          <w:color w:themeColor="text1" w:val="000000"/>
        </w:rPr>
        <w:t>3. Шкала оценки уровней убедительности рекомендаций</w:t>
      </w:r>
    </w:p>
    <w:p w14:paraId="12040000">
      <w:pPr>
        <w:widowControl w:val="1"/>
        <w:spacing w:line="240" w:lineRule="auto"/>
        <w:ind/>
        <w:jc w:val="center"/>
        <w:rPr>
          <w:color w:themeColor="text1" w:val="000000"/>
        </w:rPr>
      </w:pPr>
      <w:r>
        <w:rPr>
          <w:b w:val="1"/>
          <w:color w:themeColor="text1" w:val="000000"/>
        </w:rPr>
        <w:t>(УУР) для методов профилактики, диагностики, лечения,</w:t>
      </w:r>
    </w:p>
    <w:p w14:paraId="13040000">
      <w:pPr>
        <w:widowControl w:val="1"/>
        <w:spacing w:line="240" w:lineRule="auto"/>
        <w:ind/>
        <w:jc w:val="center"/>
        <w:rPr>
          <w:color w:themeColor="text1" w:val="000000"/>
        </w:rPr>
      </w:pPr>
      <w:r>
        <w:rPr>
          <w:b w:val="1"/>
          <w:color w:themeColor="text1" w:val="000000"/>
        </w:rPr>
        <w:t>медицинской реабилитации, в том числе основанных</w:t>
      </w:r>
    </w:p>
    <w:p w14:paraId="14040000">
      <w:pPr>
        <w:widowControl w:val="1"/>
        <w:spacing w:line="240" w:lineRule="auto"/>
        <w:ind/>
        <w:jc w:val="center"/>
        <w:rPr>
          <w:color w:themeColor="text1" w:val="000000"/>
        </w:rPr>
      </w:pPr>
      <w:r>
        <w:rPr>
          <w:b w:val="1"/>
          <w:color w:themeColor="text1" w:val="000000"/>
        </w:rPr>
        <w:t>на использовании природных лечебных факторов</w:t>
      </w:r>
    </w:p>
    <w:p w14:paraId="15040000">
      <w:pPr>
        <w:widowControl w:val="1"/>
        <w:spacing w:line="240" w:lineRule="auto"/>
        <w:ind/>
        <w:jc w:val="center"/>
        <w:rPr>
          <w:color w:themeColor="text1" w:val="000000"/>
        </w:rPr>
      </w:pPr>
      <w:r>
        <w:rPr>
          <w:b w:val="1"/>
          <w:color w:themeColor="text1" w:val="000000"/>
        </w:rPr>
        <w:t>(профилактических, диагностических, лечебных,</w:t>
      </w:r>
    </w:p>
    <w:p w14:paraId="16040000">
      <w:pPr>
        <w:widowControl w:val="1"/>
        <w:spacing w:line="240" w:lineRule="auto"/>
        <w:ind/>
        <w:jc w:val="center"/>
        <w:rPr>
          <w:color w:themeColor="text1" w:val="000000"/>
        </w:rPr>
      </w:pPr>
      <w:r>
        <w:rPr>
          <w:b w:val="1"/>
          <w:color w:themeColor="text1" w:val="000000"/>
        </w:rPr>
        <w:t>реабилитационных вмешательств)</w:t>
      </w:r>
    </w:p>
    <w:p w14:paraId="17040000">
      <w:pPr>
        <w:widowControl w:val="1"/>
        <w:spacing w:line="240" w:lineRule="auto"/>
        <w:ind/>
        <w:jc w:val="center"/>
        <w:rPr>
          <w:color w:themeColor="text1" w:val="000000"/>
        </w:rPr>
      </w:pPr>
      <w:r>
        <w:rPr>
          <w:color w:themeColor="text1" w:val="000000"/>
        </w:rPr>
        <w:t>(в ред. </w:t>
      </w:r>
      <w:r>
        <w:rPr>
          <w:color w:themeColor="text1" w:val="000000"/>
          <w:u w:val="single"/>
        </w:rPr>
        <w:fldChar w:fldCharType="begin"/>
      </w:r>
      <w:r>
        <w:rPr>
          <w:color w:themeColor="text1" w:val="000000"/>
          <w:u w:val="single"/>
        </w:rPr>
        <w:instrText>HYPERLINK "http://www.consultant.ru/cons/cgi/online.cgi?rnd=202AE5008FFCE22ABFB588C071985DCE&amp;req=doc&amp;base=LAW&amp;n=358217&amp;dst=100040&amp;fld=134&amp;REFFIELD=134&amp;REFDST=1000000158&amp;REFDOC=358259&amp;REFBASE=LAW&amp;stat=refcode%3D19827%3Bdstident%3D100040%3Bindex%3D328"</w:instrText>
      </w:r>
      <w:r>
        <w:rPr>
          <w:color w:themeColor="text1" w:val="000000"/>
          <w:u w:val="single"/>
        </w:rPr>
        <w:fldChar w:fldCharType="separate"/>
      </w:r>
      <w:r>
        <w:rPr>
          <w:color w:themeColor="text1" w:val="000000"/>
          <w:u w:val="single"/>
        </w:rPr>
        <w:t>Приказа</w:t>
      </w:r>
      <w:r>
        <w:rPr>
          <w:color w:themeColor="text1" w:val="000000"/>
          <w:u w:val="single"/>
        </w:rPr>
        <w:fldChar w:fldCharType="end"/>
      </w:r>
      <w:r>
        <w:rPr>
          <w:color w:themeColor="text1" w:val="000000"/>
        </w:rPr>
        <w:t> Минздрава России от 23.06.2020 N 617н)</w:t>
      </w:r>
    </w:p>
    <w:p w14:paraId="18040000">
      <w:pPr>
        <w:widowControl w:val="1"/>
        <w:spacing w:line="418" w:lineRule="atLeast"/>
        <w:ind/>
        <w:jc w:val="center"/>
        <w:rPr>
          <w:color w:themeColor="text1" w:val="000000"/>
        </w:rPr>
      </w:pPr>
      <w:r>
        <w:rPr>
          <w:color w:themeColor="text1" w:val="000000"/>
        </w:rPr>
        <w:t>(см. текст в предыдущей </w:t>
      </w:r>
      <w:r>
        <w:rPr>
          <w:color w:themeColor="text1" w:val="000000"/>
          <w:u w:val="single"/>
        </w:rPr>
        <w:fldChar w:fldCharType="begin"/>
      </w:r>
      <w:r>
        <w:rPr>
          <w:color w:themeColor="text1" w:val="000000"/>
          <w:u w:val="single"/>
        </w:rPr>
        <w:instrText>HYPERLINK "http://www.consultant.ru/cons/cgi/online.cgi?rnd=202AE5008FFCE22ABFB588C071985DCE&amp;req=doc&amp;base=LAW&amp;n=324276&amp;div=LAW&amp;diff=358259&amp;from=358259-329"</w:instrText>
      </w:r>
      <w:r>
        <w:rPr>
          <w:color w:themeColor="text1" w:val="000000"/>
          <w:u w:val="single"/>
        </w:rPr>
        <w:fldChar w:fldCharType="separate"/>
      </w:r>
      <w:r>
        <w:rPr>
          <w:color w:themeColor="text1" w:val="000000"/>
          <w:u w:val="single"/>
        </w:rPr>
        <w:t>редакции</w:t>
      </w:r>
      <w:r>
        <w:rPr>
          <w:color w:themeColor="text1" w:val="000000"/>
          <w:u w:val="single"/>
        </w:rPr>
        <w:fldChar w:fldCharType="end"/>
      </w:r>
      <w:r>
        <w:rPr>
          <w:color w:themeColor="text1" w:val="000000"/>
        </w:rPr>
        <w:t>)</w:t>
      </w:r>
    </w:p>
    <w:p w14:paraId="19040000">
      <w:pPr>
        <w:widowControl w:val="1"/>
        <w:spacing w:line="288" w:lineRule="atLeast"/>
        <w:ind/>
        <w:rPr>
          <w:color w:themeColor="text1" w:val="000000"/>
          <w:sz w:val="30"/>
        </w:rPr>
      </w:pPr>
      <w:r>
        <w:rPr>
          <w:color w:themeColor="text1" w:val="000000"/>
          <w:sz w:val="30"/>
        </w:rPr>
        <w:t> </w:t>
      </w:r>
    </w:p>
    <w:tbl>
      <w:tblPr>
        <w:tblStyle w:val="Style_20"/>
        <w:tblW w:type="auto" w:w="0"/>
        <w:tblInd w:type="dxa" w:w="20"/>
        <w:tblLayout w:type="fixed"/>
        <w:tblCellMar>
          <w:left w:type="dxa" w:w="0"/>
          <w:right w:type="dxa" w:w="0"/>
        </w:tblCellMar>
      </w:tblPr>
      <w:tblGrid>
        <w:gridCol w:w="1203"/>
        <w:gridCol w:w="7877"/>
      </w:tblGrid>
      <w:tr>
        <w:tc>
          <w:tcPr>
            <w:tcW w:type="dxa" w:w="1203"/>
            <w:tcBorders>
              <w:top w:color="000000" w:sz="8" w:val="single"/>
              <w:left w:color="000000" w:sz="8" w:val="single"/>
              <w:bottom w:color="000000" w:sz="8" w:val="single"/>
              <w:right w:color="000000" w:sz="8" w:val="single"/>
            </w:tcBorders>
            <w:tcMar>
              <w:left w:type="dxa" w:w="0"/>
              <w:right w:type="dxa" w:w="0"/>
            </w:tcMar>
          </w:tcPr>
          <w:p w14:paraId="1A040000">
            <w:pPr>
              <w:widowControl w:val="1"/>
              <w:spacing w:line="240" w:lineRule="auto"/>
              <w:ind/>
              <w:jc w:val="center"/>
              <w:rPr>
                <w:color w:themeColor="text1" w:val="000000"/>
              </w:rPr>
            </w:pPr>
            <w:r>
              <w:rPr>
                <w:color w:themeColor="text1" w:val="000000"/>
              </w:rPr>
              <w:t>УУР</w:t>
            </w:r>
          </w:p>
        </w:tc>
        <w:tc>
          <w:tcPr>
            <w:tcW w:type="dxa" w:w="7877"/>
            <w:tcBorders>
              <w:top w:color="000000" w:sz="8" w:val="single"/>
              <w:left w:color="000000" w:sz="8" w:val="single"/>
              <w:bottom w:color="000000" w:sz="8" w:val="single"/>
              <w:right w:color="000000" w:sz="8" w:val="single"/>
            </w:tcBorders>
            <w:tcMar>
              <w:left w:type="dxa" w:w="0"/>
              <w:right w:type="dxa" w:w="0"/>
            </w:tcMar>
          </w:tcPr>
          <w:p w14:paraId="1B040000">
            <w:pPr>
              <w:widowControl w:val="1"/>
              <w:spacing w:line="240" w:lineRule="auto"/>
              <w:ind/>
              <w:jc w:val="center"/>
              <w:rPr>
                <w:color w:themeColor="text1" w:val="000000"/>
              </w:rPr>
            </w:pPr>
            <w:r>
              <w:rPr>
                <w:color w:themeColor="text1" w:val="000000"/>
              </w:rPr>
              <w:t>Расшифровка</w:t>
            </w:r>
          </w:p>
        </w:tc>
      </w:tr>
      <w:tr>
        <w:tc>
          <w:tcPr>
            <w:tcW w:type="dxa" w:w="1203"/>
            <w:tcBorders>
              <w:top w:color="000000" w:sz="8" w:val="single"/>
              <w:left w:color="000000" w:sz="8" w:val="single"/>
              <w:bottom w:color="000000" w:sz="8" w:val="single"/>
              <w:right w:color="000000" w:sz="8" w:val="single"/>
            </w:tcBorders>
            <w:tcMar>
              <w:left w:type="dxa" w:w="0"/>
              <w:right w:type="dxa" w:w="0"/>
            </w:tcMar>
          </w:tcPr>
          <w:p w14:paraId="1C040000">
            <w:pPr>
              <w:widowControl w:val="1"/>
              <w:spacing w:line="240" w:lineRule="auto"/>
              <w:ind/>
              <w:jc w:val="center"/>
              <w:rPr>
                <w:color w:themeColor="text1" w:val="000000"/>
              </w:rPr>
            </w:pPr>
            <w:r>
              <w:rPr>
                <w:color w:themeColor="text1" w:val="000000"/>
              </w:rPr>
              <w:t>A</w:t>
            </w:r>
          </w:p>
        </w:tc>
        <w:tc>
          <w:tcPr>
            <w:tcW w:type="dxa" w:w="7877"/>
            <w:tcBorders>
              <w:top w:color="000000" w:sz="8" w:val="single"/>
              <w:left w:color="000000" w:sz="8" w:val="single"/>
              <w:bottom w:color="000000" w:sz="8" w:val="single"/>
              <w:right w:color="000000" w:sz="8" w:val="single"/>
            </w:tcBorders>
            <w:tcMar>
              <w:left w:type="dxa" w:w="0"/>
              <w:right w:type="dxa" w:w="0"/>
            </w:tcMar>
          </w:tcPr>
          <w:p w14:paraId="1D040000">
            <w:pPr>
              <w:widowControl w:val="1"/>
              <w:spacing w:line="288" w:lineRule="atLeast"/>
              <w:ind/>
              <w:rPr>
                <w:color w:themeColor="text1" w:val="000000"/>
              </w:rPr>
            </w:pPr>
            <w:r>
              <w:rPr>
                <w:color w:themeColor="text1" w:val="000000"/>
              </w:rPr>
              <w:t xml:space="preserve">Сильная рекомендация (все рассматриваемые критерии эффективности (исходы) являются важными, все исследования имеют </w:t>
            </w:r>
            <w:r>
              <w:rPr>
                <w:color w:themeColor="text1" w:val="000000"/>
              </w:rPr>
              <w:t>высокое или удовлетворительное методологическое качество, их выводы по интересующим исходам являются согласованными)</w:t>
            </w:r>
          </w:p>
        </w:tc>
      </w:tr>
      <w:tr>
        <w:tc>
          <w:tcPr>
            <w:tcW w:type="dxa" w:w="1203"/>
            <w:tcBorders>
              <w:top w:color="000000" w:sz="8" w:val="single"/>
              <w:left w:color="000000" w:sz="8" w:val="single"/>
              <w:bottom w:color="000000" w:sz="8" w:val="single"/>
              <w:right w:color="000000" w:sz="8" w:val="single"/>
            </w:tcBorders>
            <w:tcMar>
              <w:left w:type="dxa" w:w="0"/>
              <w:right w:type="dxa" w:w="0"/>
            </w:tcMar>
          </w:tcPr>
          <w:p w14:paraId="1E040000">
            <w:pPr>
              <w:widowControl w:val="1"/>
              <w:spacing w:line="240" w:lineRule="auto"/>
              <w:ind/>
              <w:jc w:val="center"/>
              <w:rPr>
                <w:color w:themeColor="text1" w:val="000000"/>
              </w:rPr>
            </w:pPr>
            <w:r>
              <w:rPr>
                <w:color w:themeColor="text1" w:val="000000"/>
              </w:rPr>
              <w:t>B</w:t>
            </w:r>
          </w:p>
        </w:tc>
        <w:tc>
          <w:tcPr>
            <w:tcW w:type="dxa" w:w="7877"/>
            <w:tcBorders>
              <w:top w:color="000000" w:sz="8" w:val="single"/>
              <w:left w:color="000000" w:sz="8" w:val="single"/>
              <w:bottom w:color="000000" w:sz="8" w:val="single"/>
              <w:right w:color="000000" w:sz="8" w:val="single"/>
            </w:tcBorders>
            <w:tcMar>
              <w:left w:type="dxa" w:w="0"/>
              <w:right w:type="dxa" w:w="0"/>
            </w:tcMar>
          </w:tcPr>
          <w:p w14:paraId="1F040000">
            <w:pPr>
              <w:widowControl w:val="1"/>
              <w:spacing w:line="288" w:lineRule="atLeast"/>
              <w:ind/>
              <w:rPr>
                <w:color w:themeColor="text1" w:val="000000"/>
              </w:rPr>
            </w:pPr>
            <w:r>
              <w:rPr>
                <w:color w:themeColor="text1" w:val="000000"/>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tc>
          <w:tcPr>
            <w:tcW w:type="dxa" w:w="1203"/>
            <w:tcBorders>
              <w:top w:color="000000" w:sz="8" w:val="single"/>
              <w:left w:color="000000" w:sz="8" w:val="single"/>
              <w:bottom w:color="000000" w:sz="8" w:val="single"/>
              <w:right w:color="000000" w:sz="8" w:val="single"/>
            </w:tcBorders>
            <w:tcMar>
              <w:left w:type="dxa" w:w="0"/>
              <w:right w:type="dxa" w:w="0"/>
            </w:tcMar>
          </w:tcPr>
          <w:p w14:paraId="20040000">
            <w:pPr>
              <w:widowControl w:val="1"/>
              <w:spacing w:line="240" w:lineRule="auto"/>
              <w:ind/>
              <w:jc w:val="center"/>
              <w:rPr>
                <w:color w:themeColor="text1" w:val="000000"/>
              </w:rPr>
            </w:pPr>
            <w:r>
              <w:rPr>
                <w:color w:themeColor="text1" w:val="000000"/>
              </w:rPr>
              <w:t>C</w:t>
            </w:r>
          </w:p>
        </w:tc>
        <w:tc>
          <w:tcPr>
            <w:tcW w:type="dxa" w:w="7877"/>
            <w:tcBorders>
              <w:top w:color="000000" w:sz="8" w:val="single"/>
              <w:left w:color="000000" w:sz="8" w:val="single"/>
              <w:bottom w:color="000000" w:sz="8" w:val="single"/>
              <w:right w:color="000000" w:sz="8" w:val="single"/>
            </w:tcBorders>
            <w:tcMar>
              <w:left w:type="dxa" w:w="0"/>
              <w:right w:type="dxa" w:w="0"/>
            </w:tcMar>
          </w:tcPr>
          <w:p w14:paraId="21040000">
            <w:pPr>
              <w:widowControl w:val="1"/>
              <w:spacing w:line="288" w:lineRule="atLeast"/>
              <w:ind/>
              <w:rPr>
                <w:color w:themeColor="text1" w:val="000000"/>
              </w:rPr>
            </w:pPr>
            <w:r>
              <w:rPr>
                <w:color w:themeColor="text1" w:val="000000"/>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14:paraId="22040000">
      <w:pPr>
        <w:pStyle w:val="Style_7"/>
        <w:widowControl w:val="1"/>
        <w:spacing w:line="360" w:lineRule="auto"/>
        <w:ind/>
      </w:pPr>
    </w:p>
    <w:p w14:paraId="23040000">
      <w:pPr>
        <w:pStyle w:val="Style_2"/>
      </w:pPr>
      <w:r>
        <w:rPr>
          <w:rStyle w:val="Style_25_ch"/>
        </w:rPr>
        <w:t>Порядок обновления клинических рекомендаций.</w:t>
      </w:r>
    </w:p>
    <w:p w14:paraId="24040000">
      <w:pPr>
        <w:pStyle w:val="Style_17"/>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14:paraId="25040000">
      <w:bookmarkStart w:id="65" w:name="__RefHeading___39"/>
      <w:bookmarkEnd w:id="65"/>
      <w:pPr>
        <w:pStyle w:val="Style_16"/>
      </w:pPr>
      <w:r>
        <w:br w:type="page"/>
      </w:r>
      <w:bookmarkStart w:id="66" w:name="__RefHeading___doc_a3"/>
      <w:r>
        <w:t xml:space="preserve">Приложение А3. </w:t>
      </w:r>
      <w: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66"/>
    </w:p>
    <w:p w14:paraId="26040000">
      <w:pPr>
        <w:pStyle w:val="Style_16"/>
        <w:rPr>
          <w:b w:val="0"/>
          <w:sz w:val="20"/>
        </w:rPr>
      </w:pPr>
    </w:p>
    <w:p w14:paraId="27040000">
      <w:pPr>
        <w:pStyle w:val="Style_6"/>
        <w:widowControl w:val="0"/>
        <w:numPr>
          <w:ilvl w:val="0"/>
          <w:numId w:val="14"/>
        </w:numPr>
        <w:ind/>
      </w:pPr>
      <w:r>
        <w:t xml:space="preserve">Порядок оказания медицинской помощи взрослому населению при стоматологических заболеваниях, утвержденный </w:t>
      </w:r>
      <w:r>
        <w:t xml:space="preserve">Приказом </w:t>
      </w:r>
      <w:r>
        <w:t>N</w:t>
      </w:r>
      <w:r>
        <w:t xml:space="preserve"> 1496н от 7 декабря 2011 года.</w:t>
      </w:r>
    </w:p>
    <w:p w14:paraId="28040000">
      <w:pPr>
        <w:pStyle w:val="Style_6"/>
        <w:widowControl w:val="0"/>
        <w:numPr>
          <w:ilvl w:val="0"/>
          <w:numId w:val="14"/>
        </w:numPr>
        <w:ind/>
      </w:pPr>
      <w:r>
        <w:t>Приказ Министерства здравоохранения РФ №203н от 10.05.2017г. «Об утверждении критериев оценки качества медицинской помощи»</w:t>
      </w:r>
    </w:p>
    <w:p w14:paraId="29040000">
      <w:pPr>
        <w:pStyle w:val="Style_30"/>
        <w:widowControl w:val="1"/>
        <w:ind w:firstLine="426"/>
        <w:jc w:val="both"/>
      </w:pPr>
      <w:r>
        <w:t>Применение местных противовоспалительных и эпителизирующих средств показано при механической травме слизистой оболочки.</w:t>
      </w:r>
      <w:r>
        <w:t xml:space="preserve"> </w:t>
      </w:r>
      <w:r>
        <w:t>Назначают полоскания или ванночки отварами одного из препаратов: коры дуба, цветков ромашки, шалфея 3-4 раза в день 3-5 дней (уровень убедительности доказательств С). Аппликации на пораженные участки маслом облепихи - 2-3 раза в день по 10-15 минут (уровень убедительности доказательств С).</w:t>
      </w:r>
    </w:p>
    <w:p w14:paraId="2A040000">
      <w:pPr>
        <w:pStyle w:val="Style_30"/>
        <w:widowControl w:val="1"/>
        <w:ind w:firstLine="426"/>
        <w:jc w:val="both"/>
      </w:pPr>
      <w:r>
        <w:t xml:space="preserve">Применяются аппликации на пораженные участки масляным раствором ретинола </w:t>
      </w:r>
      <w:r>
        <w:t>ацетата (АТХ-</w:t>
      </w:r>
      <w:r>
        <w:t>A01AD11</w:t>
      </w:r>
      <w:r>
        <w:t>)</w:t>
      </w:r>
      <w:r>
        <w:t>- 2-3 раза в день по 10-15 мин. 3-5 дней (уровень убедительности доказательств С).</w:t>
      </w:r>
    </w:p>
    <w:p w14:paraId="2B040000">
      <w:bookmarkStart w:id="67" w:name="__RefHeading___40"/>
      <w:bookmarkEnd w:id="67"/>
      <w:pPr>
        <w:pStyle w:val="Style_16"/>
      </w:pPr>
      <w:r>
        <w:br w:type="page"/>
      </w:r>
      <w:bookmarkStart w:id="68" w:name="__RefHeading___doc_b"/>
      <w:r>
        <w:t>Приложение Б. Алгоритмы ведения пациента</w:t>
      </w:r>
      <w:bookmarkEnd w:id="68"/>
    </w:p>
    <w:p w14:paraId="2C040000">
      <w:pPr>
        <w:pStyle w:val="Style_6"/>
        <w:widowControl w:val="1"/>
        <w:numPr>
          <w:ilvl w:val="0"/>
          <w:numId w:val="15"/>
        </w:numPr>
        <w:spacing w:after="160" w:line="264" w:lineRule="auto"/>
        <w:ind w:firstLine="709" w:left="0"/>
        <w:jc w:val="left"/>
        <w:rPr>
          <w:b w:val="1"/>
          <w:u w:val="single"/>
        </w:rPr>
      </w:pPr>
      <w:r>
        <w:rPr>
          <w:b w:val="1"/>
          <w:u w:val="single"/>
        </w:rPr>
        <w:t>Кариес эмали</w:t>
      </w:r>
    </w:p>
    <w:p w14:paraId="2D040000">
      <w:pPr>
        <w:widowControl w:val="1"/>
        <w:spacing w:after="160" w:line="264" w:lineRule="auto"/>
        <w:ind/>
      </w:pPr>
      <w:r>
        <w:t>Нозологическая форма: кариес эмали</w:t>
      </w:r>
    </w:p>
    <w:p w14:paraId="2E040000">
      <w:pPr>
        <w:widowControl w:val="1"/>
        <w:spacing w:after="160" w:line="264" w:lineRule="auto"/>
        <w:ind/>
      </w:pPr>
      <w:r>
        <w:t>Стадия: стадия "белого (мелового) пятна" (начальный кариес)</w:t>
      </w:r>
    </w:p>
    <w:p w14:paraId="2F040000">
      <w:r>
        <w:t>Код по МКБ-10: К02.0</w:t>
      </w:r>
    </w:p>
    <w:p w14:paraId="30040000">
      <w:pPr>
        <w:pStyle w:val="Style_6"/>
        <w:widowControl w:val="1"/>
        <w:numPr>
          <w:ilvl w:val="1"/>
          <w:numId w:val="15"/>
        </w:numPr>
        <w:ind w:firstLine="709" w:left="0"/>
        <w:jc w:val="left"/>
        <w:rPr>
          <w:b w:val="1"/>
        </w:rPr>
      </w:pPr>
      <w:r>
        <w:rPr>
          <w:b w:val="1"/>
        </w:rPr>
        <w:t xml:space="preserve"> Диагностические мероприятия:</w:t>
      </w:r>
    </w:p>
    <w:p w14:paraId="31040000">
      <w:pPr>
        <w:pStyle w:val="Style_6"/>
        <w:widowControl w:val="1"/>
        <w:numPr>
          <w:ilvl w:val="2"/>
          <w:numId w:val="15"/>
        </w:numPr>
        <w:ind w:firstLine="709" w:left="0"/>
        <w:jc w:val="left"/>
      </w:pPr>
      <w:r>
        <w:t>Сбор жалоб и анамнеза.</w:t>
      </w:r>
      <w:r>
        <w:tab/>
      </w:r>
    </w:p>
    <w:p w14:paraId="32040000">
      <w:r>
        <w:t>1.1.2.</w:t>
      </w:r>
      <w:r>
        <w:tab/>
      </w:r>
      <w:r>
        <w:t>Внешний осмотр челюстно-лицевой области</w:t>
      </w:r>
      <w:r>
        <w:tab/>
      </w:r>
    </w:p>
    <w:p w14:paraId="33040000">
      <w:pPr>
        <w:widowControl w:val="1"/>
        <w:spacing w:after="160" w:line="264" w:lineRule="auto"/>
        <w:ind/>
      </w:pPr>
      <w:r>
        <w:t>1.1.3.</w:t>
      </w:r>
      <w:r>
        <w:tab/>
      </w:r>
      <w:r>
        <w:t>Осмотр полости рта с помощью инструментов</w:t>
      </w:r>
      <w:r>
        <w:tab/>
      </w:r>
    </w:p>
    <w:p w14:paraId="34040000">
      <w:pPr>
        <w:widowControl w:val="1"/>
        <w:spacing w:after="160" w:line="264" w:lineRule="auto"/>
        <w:ind/>
      </w:pPr>
      <w:r>
        <w:t>1.1.4.</w:t>
      </w:r>
      <w:r>
        <w:tab/>
      </w:r>
      <w:r>
        <w:t>Термодиагностика зуба</w:t>
      </w:r>
      <w:r>
        <w:tab/>
      </w:r>
    </w:p>
    <w:p w14:paraId="35040000">
      <w:pPr>
        <w:widowControl w:val="1"/>
        <w:spacing w:after="160" w:line="264" w:lineRule="auto"/>
        <w:ind/>
      </w:pPr>
      <w:r>
        <w:t>1.1.5.</w:t>
      </w:r>
      <w:r>
        <w:tab/>
      </w:r>
      <w:r>
        <w:t>Перкуссия зуба</w:t>
      </w:r>
      <w:r>
        <w:tab/>
      </w:r>
    </w:p>
    <w:p w14:paraId="36040000">
      <w:pPr>
        <w:widowControl w:val="1"/>
        <w:spacing w:after="160" w:line="264" w:lineRule="auto"/>
        <w:ind/>
      </w:pPr>
      <w:r>
        <w:t>1.1.6.</w:t>
      </w:r>
      <w:r>
        <w:tab/>
      </w:r>
      <w:r>
        <w:t>Люминесцентная стоматоскопия</w:t>
      </w:r>
      <w:r>
        <w:tab/>
      </w:r>
      <w:r>
        <w:tab/>
      </w:r>
    </w:p>
    <w:p w14:paraId="37040000">
      <w:pPr>
        <w:widowControl w:val="1"/>
        <w:spacing w:after="160" w:line="264" w:lineRule="auto"/>
        <w:ind/>
      </w:pPr>
      <w:r>
        <w:t>1.1.7.</w:t>
      </w:r>
      <w:r>
        <w:tab/>
      </w:r>
      <w:r>
        <w:t>Определение прикуса</w:t>
      </w:r>
    </w:p>
    <w:p w14:paraId="38040000">
      <w:pPr>
        <w:widowControl w:val="1"/>
        <w:spacing w:after="160" w:line="264" w:lineRule="auto"/>
        <w:ind/>
      </w:pPr>
      <w:r>
        <w:t>1.1.8.</w:t>
      </w:r>
      <w:r>
        <w:tab/>
      </w:r>
      <w:r>
        <w:t>Диагностика состояния зубочелюстной системы с помощью методов и средств лучевой визуализации</w:t>
      </w:r>
      <w:r>
        <w:tab/>
      </w:r>
    </w:p>
    <w:p w14:paraId="39040000">
      <w:pPr>
        <w:widowControl w:val="1"/>
        <w:spacing w:after="160" w:line="264" w:lineRule="auto"/>
        <w:ind/>
      </w:pPr>
      <w:r>
        <w:t>1.1.9.</w:t>
      </w:r>
      <w:r>
        <w:tab/>
      </w:r>
      <w:r>
        <w:t>Прицельная внутриротовая контактная рентгенография</w:t>
      </w:r>
      <w:r>
        <w:tab/>
      </w:r>
    </w:p>
    <w:p w14:paraId="3A040000">
      <w:pPr>
        <w:widowControl w:val="1"/>
        <w:spacing w:after="160" w:line="264" w:lineRule="auto"/>
        <w:ind/>
      </w:pPr>
      <w:r>
        <w:t>1.1.10.</w:t>
      </w:r>
      <w:r>
        <w:tab/>
      </w:r>
      <w:r>
        <w:t>Витальное окрашивание твердых тканей зуба</w:t>
      </w:r>
      <w:r>
        <w:tab/>
      </w:r>
    </w:p>
    <w:p w14:paraId="3B040000">
      <w:pPr>
        <w:widowControl w:val="1"/>
        <w:spacing w:after="160" w:line="264" w:lineRule="auto"/>
        <w:ind/>
        <w:rPr>
          <w:b w:val="1"/>
        </w:rPr>
      </w:pPr>
      <w:r>
        <w:rPr>
          <w:b w:val="1"/>
        </w:rPr>
        <w:t>1.2. Лечение.</w:t>
      </w:r>
    </w:p>
    <w:p w14:paraId="3C040000">
      <w:pPr>
        <w:widowControl w:val="1"/>
        <w:spacing w:after="160" w:line="264" w:lineRule="auto"/>
        <w:ind/>
      </w:pPr>
      <w:r>
        <w:t>1.2.1.</w:t>
      </w:r>
      <w:r>
        <w:tab/>
      </w:r>
      <w:r>
        <w:t>Обучение гигиене полости рта</w:t>
      </w:r>
      <w:r>
        <w:tab/>
      </w:r>
    </w:p>
    <w:p w14:paraId="3D040000">
      <w:pPr>
        <w:widowControl w:val="1"/>
        <w:spacing w:after="160" w:line="264" w:lineRule="auto"/>
        <w:ind/>
      </w:pPr>
      <w:r>
        <w:t>1.2.2.</w:t>
      </w:r>
      <w:r>
        <w:tab/>
      </w:r>
      <w:r>
        <w:t>Контролируемая чистка зубов</w:t>
      </w:r>
      <w:r>
        <w:tab/>
      </w:r>
    </w:p>
    <w:p w14:paraId="3E040000">
      <w:pPr>
        <w:widowControl w:val="1"/>
        <w:spacing w:after="160" w:line="264" w:lineRule="auto"/>
        <w:ind/>
      </w:pPr>
      <w:r>
        <w:t>1.2.3.</w:t>
      </w:r>
      <w:r>
        <w:tab/>
      </w:r>
      <w:r>
        <w:t>Профессиональная гигиена полости рта и зубов</w:t>
      </w:r>
      <w:r>
        <w:tab/>
      </w:r>
    </w:p>
    <w:p w14:paraId="3F040000">
      <w:pPr>
        <w:widowControl w:val="1"/>
        <w:spacing w:after="160" w:line="264" w:lineRule="auto"/>
        <w:ind/>
      </w:pPr>
      <w:r>
        <w:t>1.2.4.</w:t>
      </w:r>
      <w:r>
        <w:tab/>
      </w:r>
      <w:r>
        <w:t>Назначение реминерализирующей терапии.</w:t>
      </w:r>
    </w:p>
    <w:p w14:paraId="40040000">
      <w:pPr>
        <w:widowControl w:val="1"/>
        <w:spacing w:after="160" w:line="264" w:lineRule="auto"/>
        <w:ind/>
      </w:pPr>
      <w:r>
        <w:t>1.2.5.</w:t>
      </w:r>
      <w:r>
        <w:tab/>
      </w:r>
      <w:r>
        <w:t xml:space="preserve">Фторирование твердых тканей зубов </w:t>
      </w:r>
    </w:p>
    <w:p w14:paraId="41040000">
      <w:pPr>
        <w:widowControl w:val="1"/>
        <w:spacing w:after="160" w:line="264" w:lineRule="auto"/>
        <w:ind/>
      </w:pPr>
      <w:r>
        <w:t>1.2.6.</w:t>
      </w:r>
      <w:r>
        <w:tab/>
      </w:r>
      <w:r>
        <w:t>Запечатывание фиссур зубов герметиком (при необходимости)</w:t>
      </w:r>
    </w:p>
    <w:p w14:paraId="42040000">
      <w:pPr>
        <w:widowControl w:val="1"/>
        <w:spacing w:after="160" w:line="264" w:lineRule="auto"/>
        <w:ind/>
      </w:pPr>
      <w:r>
        <w:t>1.2.7. Назначение диетической терапии при заболеваниях полости рта и зубов</w:t>
      </w:r>
      <w:r>
        <w:tab/>
      </w:r>
    </w:p>
    <w:p w14:paraId="43040000">
      <w:pPr>
        <w:rPr>
          <w:b w:val="1"/>
        </w:rPr>
      </w:pPr>
      <w:r>
        <w:rPr>
          <w:b w:val="1"/>
        </w:rPr>
        <w:t>1.3. Рекомендации.</w:t>
      </w:r>
    </w:p>
    <w:p w14:paraId="44040000">
      <w:r>
        <w:t>1.3.1. Пациенты с кариесом эмали в стадии пятна должны посещать специалиста один раз в полгода для наблюдения, профилактических осмотров, гигиенических мероприятий.</w:t>
      </w:r>
    </w:p>
    <w:p w14:paraId="45040000">
      <w:r>
        <w:t xml:space="preserve">1.3.2. Требования к диетической терапии и ограничениям в приеме кариесогенных продуктов. После завершения каждой лечебной процедуры рекомендуется не принимать пищу и не полоскать рот в течение 2 ч. Ограничение потребления пищевых продуктов и напитков с низкими значениями рН (соки, тонизирующие напитки, йогурты) и тщательное </w:t>
      </w:r>
      <w:r>
        <w:t>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14:paraId="46040000">
      <w:r>
        <w:rPr>
          <w:b w:val="1"/>
        </w:rPr>
        <w:drawing>
          <wp:inline>
            <wp:extent cx="5940425" cy="4455469"/>
            <wp:effectExtent b="0" l="0" r="0" t="0"/>
            <wp:docPr hidden="false" id="3" name="Picture 3"/>
            <a:graphic>
              <a:graphicData uri="http://schemas.openxmlformats.org/drawingml/2006/picture">
                <pic:pic>
                  <pic:nvPicPr>
                    <pic:cNvPr hidden="false" id="4" name="Picture 4"/>
                    <pic:cNvPicPr preferRelativeResize="true"/>
                  </pic:nvPicPr>
                  <pic:blipFill>
                    <a:blip r:embed="rId6"/>
                    <a:srcRect b="0" l="0" r="0" t="0"/>
                    <a:stretch/>
                  </pic:blipFill>
                  <pic:spPr>
                    <a:xfrm flipH="false" flipV="false" rot="0">
                      <a:ext cx="5940425" cy="4455469"/>
                    </a:xfrm>
                    <a:prstGeom prst="rect"/>
                  </pic:spPr>
                </pic:pic>
              </a:graphicData>
            </a:graphic>
          </wp:inline>
        </w:drawing>
      </w:r>
    </w:p>
    <w:p w14:paraId="47040000">
      <w:r>
        <w:t>Схема</w:t>
      </w:r>
      <w:r>
        <w:t xml:space="preserve"> ведения пациента с кариесом эмали (К02.0), кариесом дентина (К02.1), кариесом цемента (К02.2), приостановившимся кариесом (К02.3), кариесом неуточненным (К02.9):</w:t>
      </w:r>
    </w:p>
    <w:p w14:paraId="48040000">
      <w:pPr>
        <w:pStyle w:val="Style_6"/>
        <w:widowControl w:val="1"/>
        <w:numPr>
          <w:ilvl w:val="0"/>
          <w:numId w:val="15"/>
        </w:numPr>
        <w:ind/>
        <w:jc w:val="left"/>
        <w:rPr>
          <w:rStyle w:val="Style_25_ch"/>
        </w:rPr>
      </w:pPr>
      <w:r>
        <w:rPr>
          <w:rStyle w:val="Style_25_ch"/>
        </w:rPr>
        <w:t>Кариес дентина.</w:t>
      </w:r>
    </w:p>
    <w:p w14:paraId="49040000">
      <w:pPr>
        <w:pStyle w:val="Style_6"/>
        <w:widowControl w:val="1"/>
        <w:ind w:firstLine="0" w:left="0"/>
        <w:rPr>
          <w:rStyle w:val="Style_27_ch"/>
        </w:rPr>
      </w:pPr>
      <w:r>
        <w:rPr>
          <w:rStyle w:val="Style_25_ch"/>
        </w:rPr>
        <w:t>Нозологическая форма</w:t>
      </w:r>
      <w:r>
        <w:rPr>
          <w:rStyle w:val="Style_27_ch"/>
        </w:rPr>
        <w:t>: кариес дентина</w:t>
      </w:r>
      <w:r>
        <w:rPr>
          <w:rStyle w:val="Style_27_ch"/>
        </w:rPr>
        <w:t>, кариес цемента</w:t>
      </w:r>
    </w:p>
    <w:p w14:paraId="4A040000">
      <w:pPr>
        <w:pStyle w:val="Style_6"/>
        <w:widowControl w:val="1"/>
        <w:ind w:firstLine="0" w:left="0"/>
        <w:rPr>
          <w:rStyle w:val="Style_27_ch"/>
        </w:rPr>
      </w:pPr>
      <w:r>
        <w:rPr>
          <w:rStyle w:val="Style_25_ch"/>
        </w:rPr>
        <w:t>Стадия</w:t>
      </w:r>
      <w:r>
        <w:rPr>
          <w:rStyle w:val="Style_27_ch"/>
        </w:rPr>
        <w:t>: любая</w:t>
      </w:r>
    </w:p>
    <w:p w14:paraId="4B040000">
      <w:pPr>
        <w:pStyle w:val="Style_6"/>
        <w:widowControl w:val="1"/>
        <w:ind w:firstLine="0" w:left="0"/>
        <w:rPr>
          <w:rStyle w:val="Style_27_ch"/>
        </w:rPr>
      </w:pPr>
      <w:r>
        <w:rPr>
          <w:rStyle w:val="Style_25_ch"/>
        </w:rPr>
        <w:t>Код по МКБ-10</w:t>
      </w:r>
      <w:r>
        <w:rPr>
          <w:rStyle w:val="Style_27_ch"/>
        </w:rPr>
        <w:t>: К02.1</w:t>
      </w:r>
      <w:r>
        <w:rPr>
          <w:rStyle w:val="Style_27_ch"/>
        </w:rPr>
        <w:t>,К02.3</w:t>
      </w:r>
    </w:p>
    <w:p w14:paraId="4C040000">
      <w:pPr>
        <w:pStyle w:val="Style_6"/>
        <w:widowControl w:val="1"/>
        <w:numPr>
          <w:ilvl w:val="1"/>
          <w:numId w:val="15"/>
        </w:numPr>
        <w:ind w:firstLine="709" w:left="0"/>
        <w:jc w:val="left"/>
        <w:rPr>
          <w:b w:val="1"/>
        </w:rPr>
      </w:pPr>
      <w:r>
        <w:rPr>
          <w:b w:val="1"/>
        </w:rPr>
        <w:t>Диагностические мероприятия:</w:t>
      </w:r>
    </w:p>
    <w:p w14:paraId="4D040000">
      <w:pPr>
        <w:pStyle w:val="Style_6"/>
        <w:widowControl w:val="1"/>
        <w:numPr>
          <w:ilvl w:val="2"/>
          <w:numId w:val="15"/>
        </w:numPr>
        <w:ind w:firstLine="709" w:left="0"/>
        <w:jc w:val="left"/>
      </w:pPr>
      <w:r>
        <w:t>Сбор жалоб и анамнеза.</w:t>
      </w:r>
      <w:r>
        <w:tab/>
      </w:r>
    </w:p>
    <w:p w14:paraId="4E040000">
      <w:r>
        <w:t>2.1.2.</w:t>
      </w:r>
      <w:r>
        <w:tab/>
      </w:r>
      <w:r>
        <w:t>Внешний осмотр челюстно-лицевой области</w:t>
      </w:r>
      <w:r>
        <w:tab/>
      </w:r>
    </w:p>
    <w:p w14:paraId="4F040000">
      <w:pPr>
        <w:widowControl w:val="1"/>
        <w:spacing w:after="160" w:line="264" w:lineRule="auto"/>
        <w:ind/>
      </w:pPr>
      <w:r>
        <w:t>2.1.3.</w:t>
      </w:r>
      <w:r>
        <w:tab/>
      </w:r>
      <w:r>
        <w:t>Осмотр полости рта с помощью инструментов</w:t>
      </w:r>
      <w:r>
        <w:tab/>
      </w:r>
    </w:p>
    <w:p w14:paraId="50040000">
      <w:pPr>
        <w:widowControl w:val="1"/>
        <w:spacing w:after="160" w:line="264" w:lineRule="auto"/>
        <w:ind/>
      </w:pPr>
      <w:r>
        <w:t>2.1.4.</w:t>
      </w:r>
      <w:r>
        <w:tab/>
      </w:r>
      <w:r>
        <w:t>Термодиагностика зуба</w:t>
      </w:r>
      <w:r>
        <w:tab/>
      </w:r>
    </w:p>
    <w:p w14:paraId="51040000">
      <w:pPr>
        <w:widowControl w:val="1"/>
        <w:spacing w:after="160" w:line="264" w:lineRule="auto"/>
        <w:ind/>
      </w:pPr>
      <w:r>
        <w:t>2.1.5.</w:t>
      </w:r>
      <w:r>
        <w:tab/>
      </w:r>
      <w:r>
        <w:t>Перкуссия зуба</w:t>
      </w:r>
      <w:r>
        <w:tab/>
      </w:r>
    </w:p>
    <w:p w14:paraId="52040000">
      <w:pPr>
        <w:widowControl w:val="1"/>
        <w:spacing w:after="160" w:line="264" w:lineRule="auto"/>
        <w:ind/>
      </w:pPr>
      <w:r>
        <w:t>2.1.6.</w:t>
      </w:r>
      <w:r>
        <w:tab/>
      </w:r>
      <w:r>
        <w:t xml:space="preserve">Определение электровозбудимости пульпы зуба </w:t>
      </w:r>
      <w:r>
        <w:tab/>
      </w:r>
    </w:p>
    <w:p w14:paraId="53040000">
      <w:pPr>
        <w:widowControl w:val="1"/>
        <w:spacing w:after="160" w:line="264" w:lineRule="auto"/>
        <w:ind/>
      </w:pPr>
      <w:r>
        <w:t>2.1.7.</w:t>
      </w:r>
      <w:r>
        <w:tab/>
      </w:r>
      <w:r>
        <w:t>Определение прикуса</w:t>
      </w:r>
    </w:p>
    <w:p w14:paraId="54040000">
      <w:pPr>
        <w:widowControl w:val="1"/>
        <w:spacing w:after="160" w:line="264" w:lineRule="auto"/>
        <w:ind/>
      </w:pPr>
      <w:r>
        <w:t>2.1.8.</w:t>
      </w:r>
      <w:r>
        <w:tab/>
      </w:r>
      <w:r>
        <w:t>Диагностика состояния зубочелюстной системы с помощью методов и средств лучевой визуализации</w:t>
      </w:r>
      <w:r>
        <w:tab/>
      </w:r>
    </w:p>
    <w:p w14:paraId="55040000">
      <w:pPr>
        <w:widowControl w:val="1"/>
        <w:spacing w:after="160" w:line="264" w:lineRule="auto"/>
        <w:ind/>
      </w:pPr>
      <w:r>
        <w:t>2.1.9.</w:t>
      </w:r>
      <w:r>
        <w:tab/>
      </w:r>
      <w:r>
        <w:t>Прицельная внутриротовая контактная рентгенография</w:t>
      </w:r>
      <w:r>
        <w:tab/>
      </w:r>
    </w:p>
    <w:p w14:paraId="56040000">
      <w:pPr>
        <w:widowControl w:val="1"/>
        <w:spacing w:after="160" w:line="264" w:lineRule="auto"/>
        <w:ind/>
        <w:rPr>
          <w:b w:val="1"/>
        </w:rPr>
      </w:pPr>
      <w:r>
        <w:rPr>
          <w:b w:val="1"/>
        </w:rPr>
        <w:t>2.2. Лечение.</w:t>
      </w:r>
    </w:p>
    <w:p w14:paraId="57040000">
      <w:pPr>
        <w:widowControl w:val="1"/>
        <w:spacing w:after="160" w:line="264" w:lineRule="auto"/>
        <w:ind/>
      </w:pPr>
      <w:r>
        <w:t>2.2.1.</w:t>
      </w:r>
      <w:r>
        <w:tab/>
      </w:r>
      <w:r>
        <w:t>Обучение гигиене полости рта</w:t>
      </w:r>
      <w:r>
        <w:tab/>
      </w:r>
    </w:p>
    <w:p w14:paraId="58040000">
      <w:pPr>
        <w:widowControl w:val="1"/>
        <w:spacing w:after="160" w:line="264" w:lineRule="auto"/>
        <w:ind/>
      </w:pPr>
      <w:r>
        <w:t>2.2.2.</w:t>
      </w:r>
      <w:r>
        <w:tab/>
      </w:r>
      <w:r>
        <w:t>Контролируемая чистка зубов</w:t>
      </w:r>
      <w:r>
        <w:tab/>
      </w:r>
    </w:p>
    <w:p w14:paraId="59040000">
      <w:pPr>
        <w:widowControl w:val="1"/>
        <w:spacing w:after="160" w:line="264" w:lineRule="auto"/>
        <w:ind/>
      </w:pPr>
      <w:r>
        <w:t>2.2.3.</w:t>
      </w:r>
      <w:r>
        <w:tab/>
      </w:r>
      <w:r>
        <w:t>Профессиональная гигиена полости рта и зубов</w:t>
      </w:r>
      <w:r>
        <w:tab/>
      </w:r>
    </w:p>
    <w:p w14:paraId="5A040000">
      <w:pPr>
        <w:widowControl w:val="1"/>
        <w:spacing w:after="160" w:line="264" w:lineRule="auto"/>
        <w:ind/>
      </w:pPr>
      <w:r>
        <w:t>2.2.4.</w:t>
      </w:r>
      <w:r>
        <w:tab/>
      </w:r>
      <w:r>
        <w:t>Препарирование кариозной полости.</w:t>
      </w:r>
    </w:p>
    <w:p w14:paraId="5B040000">
      <w:pPr>
        <w:widowControl w:val="1"/>
        <w:spacing w:after="160" w:line="264" w:lineRule="auto"/>
        <w:ind/>
      </w:pPr>
      <w:r>
        <w:t>2.2.5.</w:t>
      </w:r>
      <w:r>
        <w:tab/>
      </w:r>
      <w:r>
        <w:t>Медикаментозная обработка кариозной полости.</w:t>
      </w:r>
    </w:p>
    <w:p w14:paraId="5C040000">
      <w:pPr>
        <w:widowControl w:val="1"/>
        <w:spacing w:after="160" w:line="264" w:lineRule="auto"/>
        <w:ind/>
      </w:pPr>
      <w:r>
        <w:t>2.2.6.</w:t>
      </w:r>
      <w:r>
        <w:tab/>
      </w:r>
      <w:r>
        <w:t>Пломбирование, п</w:t>
      </w:r>
      <w:r>
        <w:t>олирование, шлифование пломбы.</w:t>
      </w:r>
    </w:p>
    <w:p w14:paraId="5D040000">
      <w:pPr>
        <w:widowControl w:val="1"/>
        <w:spacing w:after="160" w:line="264" w:lineRule="auto"/>
        <w:ind/>
      </w:pPr>
      <w:r>
        <w:t xml:space="preserve">2.2.7. Фторирование зуба. </w:t>
      </w:r>
    </w:p>
    <w:p w14:paraId="5E040000">
      <w:pPr>
        <w:widowControl w:val="1"/>
        <w:spacing w:after="160" w:line="264" w:lineRule="auto"/>
        <w:ind/>
      </w:pPr>
      <w:r>
        <w:t>2.2.8. Назначение диетической терапии при заболеваниях полости рта и зубов</w:t>
      </w:r>
      <w:r>
        <w:tab/>
      </w:r>
    </w:p>
    <w:p w14:paraId="5F040000">
      <w:pPr>
        <w:rPr>
          <w:b w:val="1"/>
        </w:rPr>
      </w:pPr>
      <w:r>
        <w:rPr>
          <w:b w:val="1"/>
        </w:rPr>
        <w:t>2.3. Рекомендации.</w:t>
      </w:r>
    </w:p>
    <w:p w14:paraId="60040000">
      <w:r>
        <w:t>2.3.1. Пациенты с кариесом дентина</w:t>
      </w:r>
      <w:r>
        <w:t>, цемента</w:t>
      </w:r>
      <w:r>
        <w:t xml:space="preserve"> должны посещать специалиста один раз в полгода для профилактических осмотров, гигиенических мероприятий.</w:t>
      </w:r>
    </w:p>
    <w:p w14:paraId="61040000">
      <w:r>
        <w:t xml:space="preserve">2.3.2. </w:t>
      </w:r>
      <w:r>
        <w:t>Не р</w:t>
      </w:r>
      <w:r>
        <w:t>екомендуется принимать пищу после проведенного лечения в течения 2 часов.</w:t>
      </w:r>
    </w:p>
    <w:p w14:paraId="62040000">
      <w:r>
        <w:t xml:space="preserve">2.3.3. Требования к диетической терапии и ограничениям в приеме кариесогенных продуктов.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w:t>
      </w:r>
    </w:p>
    <w:p w14:paraId="63040000"/>
    <w:p w14:paraId="64040000"/>
    <w:p w14:paraId="65040000">
      <w:pPr>
        <w:widowControl w:val="1"/>
        <w:ind w:firstLine="0"/>
      </w:pPr>
      <w:r>
        <w:drawing>
          <wp:inline>
            <wp:extent cx="5940425" cy="5981700"/>
            <wp:effectExtent b="0" l="0" r="0" t="0"/>
            <wp:docPr hidden="false" id="5" name="Picture 5"/>
            <a:graphic>
              <a:graphicData uri="http://schemas.openxmlformats.org/drawingml/2006/picture">
                <pic:pic>
                  <pic:nvPicPr>
                    <pic:cNvPr hidden="false" id="6" name="Picture 6"/>
                    <pic:cNvPicPr preferRelativeResize="true"/>
                  </pic:nvPicPr>
                  <pic:blipFill>
                    <a:blip r:embed="rId7"/>
                    <a:srcRect b="28803" l="0" r="0" t="0"/>
                    <a:stretch/>
                  </pic:blipFill>
                  <pic:spPr>
                    <a:xfrm flipH="false" flipV="false" rot="0">
                      <a:ext cx="5940425" cy="5981700"/>
                    </a:xfrm>
                    <a:prstGeom prst="rect"/>
                  </pic:spPr>
                </pic:pic>
              </a:graphicData>
            </a:graphic>
          </wp:inline>
        </w:drawing>
      </w:r>
    </w:p>
    <w:p w14:paraId="66040000">
      <w:pPr>
        <w:sectPr>
          <w:footerReference r:id="rId1" w:type="default"/>
          <w:pgSz w:h="16838" w:orient="portrait" w:w="11906"/>
          <w:pgMar w:bottom="1134" w:footer="680" w:gutter="0" w:header="397" w:left="1701" w:right="850" w:top="1134"/>
          <w:titlePg/>
        </w:sectPr>
      </w:pPr>
    </w:p>
    <w:p w14:paraId="67040000">
      <w:pPr>
        <w:pStyle w:val="Style_6"/>
        <w:widowControl w:val="1"/>
        <w:numPr>
          <w:ilvl w:val="0"/>
          <w:numId w:val="15"/>
        </w:numPr>
        <w:ind/>
        <w:jc w:val="left"/>
        <w:rPr>
          <w:rStyle w:val="Style_25_ch"/>
        </w:rPr>
      </w:pPr>
      <w:r>
        <w:rPr>
          <w:rStyle w:val="Style_25_ch"/>
        </w:rPr>
        <w:t xml:space="preserve">Кариес </w:t>
      </w:r>
      <w:r>
        <w:t>со вскрытием пульпы (К02.5):</w:t>
      </w:r>
    </w:p>
    <w:p w14:paraId="68040000">
      <w:pPr>
        <w:pStyle w:val="Style_6"/>
        <w:widowControl w:val="1"/>
        <w:ind w:firstLine="0" w:left="0"/>
        <w:rPr>
          <w:rStyle w:val="Style_27_ch"/>
        </w:rPr>
      </w:pPr>
      <w:r>
        <w:rPr>
          <w:rStyle w:val="Style_25_ch"/>
        </w:rPr>
        <w:t>Нозологическая форма</w:t>
      </w:r>
      <w:r>
        <w:rPr>
          <w:rStyle w:val="Style_27_ch"/>
        </w:rPr>
        <w:t xml:space="preserve">: кариес </w:t>
      </w:r>
      <w:r>
        <w:t>со вскрытием пульпы</w:t>
      </w:r>
    </w:p>
    <w:p w14:paraId="69040000">
      <w:pPr>
        <w:pStyle w:val="Style_6"/>
        <w:widowControl w:val="1"/>
        <w:ind w:firstLine="0" w:left="0"/>
        <w:rPr>
          <w:rStyle w:val="Style_27_ch"/>
        </w:rPr>
      </w:pPr>
      <w:r>
        <w:rPr>
          <w:rStyle w:val="Style_25_ch"/>
        </w:rPr>
        <w:t>Стадия</w:t>
      </w:r>
      <w:r>
        <w:rPr>
          <w:rStyle w:val="Style_27_ch"/>
        </w:rPr>
        <w:t>: любая</w:t>
      </w:r>
    </w:p>
    <w:p w14:paraId="6A040000">
      <w:pPr>
        <w:pStyle w:val="Style_6"/>
        <w:widowControl w:val="1"/>
        <w:ind w:firstLine="0" w:left="0"/>
        <w:rPr>
          <w:rStyle w:val="Style_27_ch"/>
        </w:rPr>
      </w:pPr>
      <w:r>
        <w:rPr>
          <w:rStyle w:val="Style_25_ch"/>
        </w:rPr>
        <w:t>Код по МКБ-10</w:t>
      </w:r>
      <w:r>
        <w:rPr>
          <w:rStyle w:val="Style_27_ch"/>
        </w:rPr>
        <w:t>: К02.5</w:t>
      </w:r>
    </w:p>
    <w:p w14:paraId="6B040000">
      <w:pPr>
        <w:pStyle w:val="Style_6"/>
        <w:widowControl w:val="1"/>
        <w:numPr>
          <w:ilvl w:val="1"/>
          <w:numId w:val="15"/>
        </w:numPr>
        <w:ind w:firstLine="709" w:left="0"/>
        <w:jc w:val="left"/>
        <w:rPr>
          <w:b w:val="1"/>
        </w:rPr>
      </w:pPr>
      <w:r>
        <w:rPr>
          <w:b w:val="1"/>
        </w:rPr>
        <w:t>Диагностические мероприятия:</w:t>
      </w:r>
    </w:p>
    <w:p w14:paraId="6C040000">
      <w:pPr>
        <w:pStyle w:val="Style_6"/>
        <w:widowControl w:val="1"/>
        <w:numPr>
          <w:ilvl w:val="2"/>
          <w:numId w:val="15"/>
        </w:numPr>
        <w:ind w:firstLine="709" w:left="0"/>
        <w:jc w:val="left"/>
      </w:pPr>
      <w:r>
        <w:t>Сбор жалоб и анамнеза.</w:t>
      </w:r>
      <w:r>
        <w:tab/>
      </w:r>
    </w:p>
    <w:p w14:paraId="6D040000">
      <w:r>
        <w:t>2.1.2.</w:t>
      </w:r>
      <w:r>
        <w:tab/>
      </w:r>
      <w:r>
        <w:t>Внешний осмотр челюстно-лицевой области</w:t>
      </w:r>
      <w:r>
        <w:tab/>
      </w:r>
    </w:p>
    <w:p w14:paraId="6E040000">
      <w:pPr>
        <w:widowControl w:val="1"/>
        <w:spacing w:after="160" w:line="264" w:lineRule="auto"/>
        <w:ind/>
      </w:pPr>
      <w:r>
        <w:t>2.1.3.</w:t>
      </w:r>
      <w:r>
        <w:tab/>
      </w:r>
      <w:r>
        <w:t>Осмотр полости рта с помощью инструментов</w:t>
      </w:r>
      <w:r>
        <w:tab/>
      </w:r>
    </w:p>
    <w:p w14:paraId="6F040000">
      <w:pPr>
        <w:widowControl w:val="1"/>
        <w:spacing w:after="160" w:line="264" w:lineRule="auto"/>
        <w:ind/>
      </w:pPr>
      <w:r>
        <w:t>2.1.4.</w:t>
      </w:r>
      <w:r>
        <w:tab/>
      </w:r>
      <w:r>
        <w:t>Термодиагностика зуба</w:t>
      </w:r>
      <w:r>
        <w:tab/>
      </w:r>
    </w:p>
    <w:p w14:paraId="70040000">
      <w:pPr>
        <w:widowControl w:val="1"/>
        <w:spacing w:after="160" w:line="264" w:lineRule="auto"/>
        <w:ind/>
      </w:pPr>
      <w:r>
        <w:t>2.1.5.</w:t>
      </w:r>
      <w:r>
        <w:tab/>
      </w:r>
      <w:r>
        <w:t>Перкуссия зуба</w:t>
      </w:r>
      <w:r>
        <w:tab/>
      </w:r>
    </w:p>
    <w:p w14:paraId="71040000">
      <w:pPr>
        <w:widowControl w:val="1"/>
        <w:spacing w:after="160" w:line="264" w:lineRule="auto"/>
        <w:ind/>
      </w:pPr>
      <w:r>
        <w:t>2.1.6.</w:t>
      </w:r>
      <w:r>
        <w:tab/>
      </w:r>
      <w:r>
        <w:t xml:space="preserve">Определение электровозбудимости пульпы зуба </w:t>
      </w:r>
      <w:r>
        <w:tab/>
      </w:r>
    </w:p>
    <w:p w14:paraId="72040000">
      <w:pPr>
        <w:widowControl w:val="1"/>
        <w:spacing w:after="160" w:line="264" w:lineRule="auto"/>
        <w:ind/>
      </w:pPr>
      <w:r>
        <w:t>2.1.7.</w:t>
      </w:r>
      <w:r>
        <w:tab/>
      </w:r>
      <w:r>
        <w:t>Определение прикуса</w:t>
      </w:r>
    </w:p>
    <w:p w14:paraId="73040000">
      <w:pPr>
        <w:widowControl w:val="1"/>
        <w:spacing w:after="160" w:line="264" w:lineRule="auto"/>
        <w:ind/>
      </w:pPr>
      <w:r>
        <w:t>2.1.8.</w:t>
      </w:r>
      <w:r>
        <w:tab/>
      </w:r>
      <w:r>
        <w:t>Диагностика состояния зубочелюстной системы с помощью методов и средств лучевой визуализации</w:t>
      </w:r>
      <w:r>
        <w:tab/>
      </w:r>
    </w:p>
    <w:p w14:paraId="74040000">
      <w:pPr>
        <w:widowControl w:val="1"/>
        <w:spacing w:after="160" w:line="264" w:lineRule="auto"/>
        <w:ind/>
      </w:pPr>
      <w:r>
        <w:t>2.1.9.</w:t>
      </w:r>
      <w:r>
        <w:tab/>
      </w:r>
      <w:r>
        <w:t>Прицельная внутриротовая контактная рентгенография</w:t>
      </w:r>
      <w:r>
        <w:tab/>
      </w:r>
    </w:p>
    <w:p w14:paraId="75040000">
      <w:pPr>
        <w:widowControl w:val="1"/>
        <w:spacing w:after="160" w:line="264" w:lineRule="auto"/>
        <w:ind/>
        <w:rPr>
          <w:b w:val="1"/>
        </w:rPr>
      </w:pPr>
      <w:r>
        <w:rPr>
          <w:b w:val="1"/>
        </w:rPr>
        <w:t>2.2. Лечение.</w:t>
      </w:r>
    </w:p>
    <w:p w14:paraId="76040000">
      <w:pPr>
        <w:widowControl w:val="1"/>
        <w:spacing w:after="160" w:line="264" w:lineRule="auto"/>
        <w:ind/>
      </w:pPr>
      <w:r>
        <w:t>2.2.1.</w:t>
      </w:r>
      <w:r>
        <w:tab/>
      </w:r>
      <w:r>
        <w:t>Обучение гигиене полости рта</w:t>
      </w:r>
      <w:r>
        <w:tab/>
      </w:r>
    </w:p>
    <w:p w14:paraId="77040000">
      <w:pPr>
        <w:widowControl w:val="1"/>
        <w:spacing w:after="160" w:line="264" w:lineRule="auto"/>
        <w:ind/>
      </w:pPr>
      <w:r>
        <w:t>2.2.2.</w:t>
      </w:r>
      <w:r>
        <w:tab/>
      </w:r>
      <w:r>
        <w:t>Контролируемая чистка зубов</w:t>
      </w:r>
      <w:r>
        <w:tab/>
      </w:r>
    </w:p>
    <w:p w14:paraId="78040000">
      <w:pPr>
        <w:widowControl w:val="1"/>
        <w:spacing w:after="160" w:line="264" w:lineRule="auto"/>
        <w:ind/>
      </w:pPr>
      <w:r>
        <w:t>2.2.3.</w:t>
      </w:r>
      <w:r>
        <w:tab/>
      </w:r>
      <w:r>
        <w:t>Профессиональная гигиена полости рта и зубов</w:t>
      </w:r>
      <w:r>
        <w:tab/>
      </w:r>
    </w:p>
    <w:p w14:paraId="79040000">
      <w:pPr>
        <w:widowControl w:val="1"/>
        <w:spacing w:after="160" w:line="264" w:lineRule="auto"/>
        <w:ind/>
      </w:pPr>
      <w:r>
        <w:t>2.2.4.</w:t>
      </w:r>
      <w:r>
        <w:tab/>
      </w:r>
      <w:r>
        <w:t>Препарирование кариозной полости.</w:t>
      </w:r>
    </w:p>
    <w:p w14:paraId="7A040000">
      <w:pPr>
        <w:widowControl w:val="1"/>
        <w:spacing w:after="160" w:line="264" w:lineRule="auto"/>
        <w:ind/>
      </w:pPr>
      <w:r>
        <w:t>2.2.5.</w:t>
      </w:r>
      <w:r>
        <w:tab/>
      </w:r>
      <w:r>
        <w:t>Медикаментозная обработка кариозной полости.</w:t>
      </w:r>
    </w:p>
    <w:p w14:paraId="7B040000">
      <w:pPr>
        <w:widowControl w:val="1"/>
        <w:spacing w:after="160" w:line="264" w:lineRule="auto"/>
        <w:ind/>
      </w:pPr>
      <w:r>
        <w:t>2.2.6. Наложение лечебной и изолирующей прокладки (прямое покрятие пульпы)</w:t>
      </w:r>
    </w:p>
    <w:p w14:paraId="7C040000">
      <w:pPr>
        <w:widowControl w:val="1"/>
        <w:spacing w:after="160" w:line="264" w:lineRule="auto"/>
        <w:ind/>
      </w:pPr>
      <w:r>
        <w:t>2.2.7.</w:t>
      </w:r>
      <w:r>
        <w:tab/>
      </w:r>
      <w:r>
        <w:t>Пломбирование, полирование, шлифование пломбы.</w:t>
      </w:r>
    </w:p>
    <w:p w14:paraId="7D040000">
      <w:pPr>
        <w:widowControl w:val="1"/>
        <w:spacing w:after="160" w:line="264" w:lineRule="auto"/>
        <w:ind/>
      </w:pPr>
      <w:r>
        <w:t xml:space="preserve">2.2.8. Фторирование зуба. </w:t>
      </w:r>
    </w:p>
    <w:p w14:paraId="7E040000">
      <w:pPr>
        <w:widowControl w:val="1"/>
        <w:spacing w:after="160" w:line="264" w:lineRule="auto"/>
        <w:ind/>
      </w:pPr>
      <w:r>
        <w:t>2.2.9. Назначение диетической терапии при заболеваниях полости рта и зубов</w:t>
      </w:r>
      <w:r>
        <w:tab/>
      </w:r>
    </w:p>
    <w:p w14:paraId="7F040000">
      <w:pPr>
        <w:rPr>
          <w:b w:val="1"/>
        </w:rPr>
      </w:pPr>
      <w:r>
        <w:rPr>
          <w:b w:val="1"/>
        </w:rPr>
        <w:t>2.3. Рекомендации.</w:t>
      </w:r>
    </w:p>
    <w:p w14:paraId="80040000">
      <w:r>
        <w:t>2.3.1. Пациенты с кариесом дентина должны посещать специалиста один раз в полгода для наблюдения, профилактических осмотров, гигиенических мероприятий.</w:t>
      </w:r>
    </w:p>
    <w:p w14:paraId="81040000">
      <w:r>
        <w:t>2.3.2. Рекомендуется принимать пищу после проведенного лечения в течения 2 часов.</w:t>
      </w:r>
    </w:p>
    <w:p w14:paraId="82040000">
      <w:r>
        <w:t xml:space="preserve">2.3.3. Требования к диетической терапии и ограничениям в приеме кариесогенных продуктов.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w:t>
      </w:r>
      <w:r>
        <w:t xml:space="preserve">конфеты). Тщательная гигиена полости рта после завтрака и перед ночным сном. Дополнительная информация для пациента и членов его семьи </w:t>
      </w:r>
    </w:p>
    <w:p w14:paraId="83040000">
      <w:pPr>
        <w:pStyle w:val="Style_17"/>
      </w:pPr>
    </w:p>
    <w:p w14:paraId="84040000">
      <w:pPr>
        <w:pStyle w:val="Style_17"/>
      </w:pPr>
      <w:r>
        <w:drawing>
          <wp:inline>
            <wp:extent cx="5457825" cy="7524750"/>
            <wp:effectExtent b="0" l="0" r="0" t="0"/>
            <wp:docPr hidden="false" id="7" name="Picture 7"/>
            <a:graphic>
              <a:graphicData uri="http://schemas.openxmlformats.org/drawingml/2006/picture">
                <pic:pic>
                  <pic:nvPicPr>
                    <pic:cNvPr hidden="false" id="8" name="Picture 8"/>
                    <pic:cNvPicPr preferRelativeResize="true"/>
                  </pic:nvPicPr>
                  <pic:blipFill>
                    <a:blip r:embed="rId8"/>
                    <a:srcRect b="4036" l="21916" r="46182" t="17766"/>
                    <a:stretch/>
                  </pic:blipFill>
                  <pic:spPr>
                    <a:xfrm flipH="false" flipV="false" rot="0">
                      <a:ext cx="5457825" cy="7524750"/>
                    </a:xfrm>
                    <a:prstGeom prst="rect"/>
                  </pic:spPr>
                </pic:pic>
              </a:graphicData>
            </a:graphic>
          </wp:inline>
        </w:drawing>
      </w:r>
    </w:p>
    <w:p w14:paraId="85040000">
      <w:pPr>
        <w:pStyle w:val="Style_16"/>
      </w:pPr>
      <w:r>
        <w:br w:type="page"/>
      </w:r>
      <w:bookmarkStart w:id="69" w:name="__RefHeading___doc_v"/>
    </w:p>
    <w:p w14:paraId="86040000">
      <w:bookmarkStart w:id="70" w:name="__RefHeading___41"/>
      <w:bookmarkEnd w:id="70"/>
      <w:pPr>
        <w:pStyle w:val="Style_16"/>
      </w:pPr>
      <w:r>
        <w:t xml:space="preserve">Приложение Б2. </w:t>
      </w:r>
      <w:r>
        <w:t>Выбор ортопедических конструкций</w:t>
      </w:r>
    </w:p>
    <w:p w14:paraId="87040000">
      <w:bookmarkStart w:id="71" w:name="__RefHeading___42"/>
      <w:bookmarkEnd w:id="71"/>
      <w:pPr>
        <w:pStyle w:val="Style_16"/>
        <w:widowControl w:val="1"/>
        <w:ind/>
        <w:jc w:val="left"/>
        <w:rPr>
          <w:b w:val="0"/>
          <w:sz w:val="24"/>
        </w:rPr>
      </w:pPr>
      <w:r>
        <w:rPr>
          <w:b w:val="0"/>
          <w:sz w:val="24"/>
        </w:rPr>
        <w:t>Восстановление коронки зуба протетическими</w:t>
      </w:r>
      <w:r>
        <w:rPr>
          <w:b w:val="0"/>
          <w:sz w:val="24"/>
        </w:rPr>
        <w:t xml:space="preserve"> (ортопедическими)</w:t>
      </w:r>
      <w:r>
        <w:rPr>
          <w:b w:val="0"/>
          <w:sz w:val="24"/>
        </w:rPr>
        <w:t xml:space="preserve"> конструкциями показано при индексе ИРОПЗ более 0,4: изготовление вкладок (из металла, керамики, композитных материалов) – при 0,4&lt;ИРОПЗ&lt;0,6; изготовление искусственных коронок – при 0,6 &lt; ИРОПЗ &lt; 0,8</w:t>
      </w:r>
      <w:r>
        <w:rPr>
          <w:b w:val="0"/>
          <w:sz w:val="24"/>
        </w:rPr>
        <w:t>.</w:t>
      </w:r>
    </w:p>
    <w:p w14:paraId="88040000">
      <w:pPr>
        <w:pStyle w:val="Style_16"/>
      </w:pPr>
    </w:p>
    <w:p w14:paraId="89040000">
      <w:bookmarkStart w:id="72" w:name="__RefHeading___43"/>
      <w:bookmarkEnd w:id="72"/>
      <w:pPr>
        <w:pStyle w:val="Style_16"/>
      </w:pPr>
      <w:r>
        <w:t>Приложение В. Информация для пациентов</w:t>
      </w:r>
      <w:bookmarkEnd w:id="69"/>
    </w:p>
    <w:tbl>
      <w:tblPr>
        <w:tblStyle w:val="Style_3"/>
        <w:tblW w:type="auto" w:w="0"/>
        <w:tblLayout w:type="fixed"/>
      </w:tblPr>
      <w:tblGrid>
        <w:gridCol w:w="9345"/>
      </w:tblGrid>
      <w:tr>
        <w:tc>
          <w:tcPr>
            <w:tcW w:type="dxa" w:w="9345"/>
            <w:shd w:themeFill="background1" w:themeFillShade="F2" w:val="clear"/>
          </w:tcPr>
          <w:p w14:paraId="8A040000">
            <w:pPr>
              <w:pStyle w:val="Style_7"/>
              <w:widowControl w:val="1"/>
              <w:ind w:firstLine="0"/>
              <w:jc w:val="center"/>
              <w:rPr>
                <w:i w:val="1"/>
              </w:rPr>
            </w:pPr>
            <w:r>
              <w:rPr>
                <w:i w:val="1"/>
              </w:rPr>
              <w:t xml:space="preserve">Уважаемый пациент, пожалуйста, ознакомьтесь с краткой информацией о выявленном у Вас стоматологическом заболевании </w:t>
            </w:r>
            <w:r>
              <w:rPr>
                <w:i w:val="1"/>
              </w:rPr>
              <w:t>– «кариес зубов» (кариес эмали, кариес дентина, кариес цемента, приостановившийся кариес, кариес с обнажением пульпы зуба)</w:t>
            </w:r>
            <w:r>
              <w:rPr>
                <w:i w:val="1"/>
              </w:rPr>
              <w:t>.</w:t>
            </w:r>
          </w:p>
        </w:tc>
      </w:tr>
      <w:tr>
        <w:tc>
          <w:tcPr>
            <w:tcW w:type="dxa" w:w="9345"/>
            <w:shd w:themeFill="background1" w:themeFillShade="F2" w:val="clear"/>
          </w:tcPr>
          <w:p w14:paraId="8B040000">
            <w:pPr>
              <w:pStyle w:val="Style_31"/>
              <w:widowControl w:val="1"/>
              <w:ind w:left="567"/>
              <w:rPr>
                <w:b w:val="1"/>
              </w:rPr>
            </w:pPr>
            <w:r>
              <w:rPr>
                <w:b w:val="1"/>
              </w:rPr>
              <w:t>1. </w:t>
            </w:r>
            <w:r>
              <w:rPr>
                <w:b w:val="1"/>
              </w:rPr>
              <w:t>Поставленный Вам диагноз «</w:t>
            </w:r>
            <w:r>
              <w:rPr>
                <w:b w:val="1"/>
              </w:rPr>
              <w:t>Кариес зубов</w:t>
            </w:r>
            <w:r>
              <w:rPr>
                <w:b w:val="1"/>
              </w:rPr>
              <w:t>»</w:t>
            </w:r>
            <w:r>
              <w:rPr>
                <w:b w:val="1"/>
              </w:rPr>
              <w:t xml:space="preserve"> (К02.0-К02.9)</w:t>
            </w:r>
            <w:r>
              <w:rPr>
                <w:b w:val="1"/>
              </w:rPr>
              <w:t xml:space="preserve"> установлен на основании результатов проведенного клинико-инструментального обследования.</w:t>
            </w:r>
          </w:p>
          <w:p w14:paraId="8C040000">
            <w:pPr>
              <w:pStyle w:val="Style_31"/>
              <w:widowControl w:val="1"/>
              <w:ind w:left="567"/>
              <w:rPr>
                <w:b w:val="1"/>
              </w:rPr>
            </w:pPr>
            <w:r>
              <w:rPr>
                <w:b w:val="1"/>
              </w:rPr>
              <w:t>2. Выбор метода лечения, а также выбор способа восстановления утраченных тканей зуба зависит от степени разрушения зуба, состояния / жизнеспособности пульпы зуба, общего состояния организма и Ваших предпочтений.</w:t>
            </w:r>
          </w:p>
          <w:p w14:paraId="8D040000">
            <w:pPr>
              <w:pStyle w:val="Style_31"/>
              <w:widowControl w:val="1"/>
              <w:ind w:left="567"/>
              <w:rPr>
                <w:b w:val="1"/>
              </w:rPr>
            </w:pPr>
            <w:r>
              <w:rPr>
                <w:b w:val="1"/>
              </w:rPr>
              <w:t>3. После проведенного лечения запломбированные зубы необходимо чистить зубной щеткой с пастой так же</w:t>
            </w:r>
            <w:r>
              <w:rPr>
                <w:b w:val="1"/>
              </w:rPr>
              <w:t>, как и естественные зубы – два раза в день. После еды следует полоскать рот для удаления остатков пищи.</w:t>
            </w:r>
          </w:p>
          <w:p w14:paraId="8E040000">
            <w:pPr>
              <w:pStyle w:val="Style_31"/>
              <w:widowControl w:val="1"/>
              <w:ind w:left="567"/>
              <w:rPr>
                <w:b w:val="1"/>
              </w:rPr>
            </w:pPr>
            <w:r>
              <w:rPr>
                <w:b w:val="1"/>
              </w:rPr>
              <w:t>4. Для чистки межзубных промежутков можно использовать зубные нити (флоссы), следуя данным Вам врачом-стоматологом рекомендациям.</w:t>
            </w:r>
          </w:p>
          <w:p w14:paraId="8F040000">
            <w:pPr>
              <w:pStyle w:val="Style_31"/>
              <w:widowControl w:val="1"/>
              <w:ind w:left="567"/>
              <w:rPr>
                <w:b w:val="1"/>
              </w:rPr>
            </w:pPr>
            <w:r>
              <w:rPr>
                <w:b w:val="1"/>
              </w:rPr>
              <w:t>5.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врачу-стоматологу.</w:t>
            </w:r>
          </w:p>
          <w:p w14:paraId="90040000">
            <w:pPr>
              <w:pStyle w:val="Style_31"/>
              <w:widowControl w:val="1"/>
              <w:ind w:left="567"/>
              <w:rPr>
                <w:b w:val="1"/>
              </w:rPr>
            </w:pPr>
            <w:r>
              <w:rPr>
                <w:b w:val="1"/>
              </w:rPr>
              <w:t>6. 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14:paraId="91040000">
            <w:pPr>
              <w:pStyle w:val="Style_31"/>
              <w:widowControl w:val="1"/>
              <w:ind w:left="567"/>
              <w:rPr>
                <w:b w:val="1"/>
              </w:rPr>
            </w:pPr>
            <w:r>
              <w:rPr>
                <w:b w:val="1"/>
              </w:rPr>
              <w:t>7. В течение первых двух суток после пломбирования зуба композитным материалом не следует принимать пищу, содержащую естественные и искусственные красители (например, чернику, чай, кофе и т.д.).</w:t>
            </w:r>
          </w:p>
          <w:p w14:paraId="92040000">
            <w:pPr>
              <w:pStyle w:val="Style_31"/>
              <w:widowControl w:val="1"/>
              <w:ind w:left="567"/>
              <w:rPr>
                <w:b w:val="1"/>
              </w:rPr>
            </w:pPr>
            <w:r>
              <w:rPr>
                <w:b w:val="1"/>
              </w:rPr>
              <w:t>8. При возникновении скола пломбы или прилегающих тканей зуба необходимо в ближайшее время обратиться к лечащему врачу-стоматологу.</w:t>
            </w:r>
          </w:p>
          <w:p w14:paraId="93040000">
            <w:pPr>
              <w:pStyle w:val="Style_31"/>
              <w:widowControl w:val="1"/>
              <w:ind w:left="567"/>
              <w:rPr>
                <w:b w:val="1"/>
              </w:rPr>
            </w:pPr>
            <w:r>
              <w:rPr>
                <w:b w:val="1"/>
              </w:rPr>
              <w:t>9. При возникновении в зубе боли любого характера необходимо как можно быстрее обратиться к лечащему врачу-стоматологу.</w:t>
            </w:r>
          </w:p>
          <w:p w14:paraId="94040000">
            <w:pPr>
              <w:pStyle w:val="Style_31"/>
              <w:widowControl w:val="1"/>
              <w:ind w:left="567"/>
              <w:rPr>
                <w:b w:val="1"/>
              </w:rPr>
            </w:pPr>
            <w:r>
              <w:rPr>
                <w:b w:val="1"/>
              </w:rPr>
              <w:t>10. 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и т.д.), откусывать от больших кусков (например, от цельного яблока).</w:t>
            </w:r>
          </w:p>
          <w:p w14:paraId="95040000">
            <w:pPr>
              <w:pStyle w:val="Style_31"/>
              <w:widowControl w:val="1"/>
              <w:ind w:left="567"/>
            </w:pPr>
            <w:r>
              <w:rPr>
                <w:b w:val="1"/>
              </w:rPr>
              <w:t>11. Для оценки эффективности лечения и своевременных корр</w:t>
            </w:r>
            <w:r>
              <w:rPr>
                <w:b w:val="1"/>
              </w:rPr>
              <w:t>иги</w:t>
            </w:r>
            <w:r>
              <w:rPr>
                <w:b w:val="1"/>
              </w:rPr>
              <w:t>рующих мер Вам необходимо яв</w:t>
            </w:r>
            <w:r>
              <w:rPr>
                <w:b w:val="1"/>
              </w:rPr>
              <w:t>ля</w:t>
            </w:r>
            <w:r>
              <w:rPr>
                <w:b w:val="1"/>
              </w:rPr>
              <w:t>ться к врачу-стоматологу для контрольного осмотра</w:t>
            </w:r>
            <w:r>
              <w:rPr>
                <w:b w:val="1"/>
              </w:rPr>
              <w:t>:</w:t>
            </w:r>
            <w:r>
              <w:rPr>
                <w:b w:val="1"/>
              </w:rPr>
              <w:t xml:space="preserve"> </w:t>
            </w:r>
            <w:r>
              <w:rPr>
                <w:b w:val="1"/>
              </w:rPr>
              <w:t xml:space="preserve">при диагнозе «кариес с обнажением пульпы» - </w:t>
            </w:r>
            <w:r>
              <w:rPr>
                <w:b w:val="1"/>
              </w:rPr>
              <w:t xml:space="preserve">через 1, 3, 6, 12 месяцев, </w:t>
            </w:r>
            <w:r>
              <w:rPr>
                <w:b w:val="1"/>
              </w:rPr>
              <w:t xml:space="preserve">а </w:t>
            </w:r>
            <w:r>
              <w:rPr>
                <w:b w:val="1"/>
              </w:rPr>
              <w:t>затем раз в полгода</w:t>
            </w:r>
            <w:r>
              <w:rPr>
                <w:b w:val="1"/>
              </w:rPr>
              <w:t>; при диагнозе «кариес эмали», «кариес дентина», «кариес цемента»</w:t>
            </w:r>
            <w:r>
              <w:rPr>
                <w:b w:val="1"/>
              </w:rPr>
              <w:t>, «приостановившийся кариес» –</w:t>
            </w:r>
            <w:r>
              <w:rPr>
                <w:b w:val="1"/>
              </w:rPr>
              <w:t xml:space="preserve"> 2-3 раза в год. Во время контрольного осмотра Вам может быть предложено проведение профессиональной гигиены полости рта, полирование установленных ранее пломб / реставраций для увеличения срока их службы или их замена при несоответствии критериям качественной реставрации</w:t>
            </w:r>
            <w:r>
              <w:rPr>
                <w:b w:val="1"/>
              </w:rPr>
              <w:t>.</w:t>
            </w:r>
            <w:r>
              <w:t xml:space="preserve"> </w:t>
            </w:r>
          </w:p>
        </w:tc>
      </w:tr>
    </w:tbl>
    <w:p w14:paraId="96040000">
      <w:pPr>
        <w:sectPr>
          <w:footerReference r:id="rId4" w:type="default"/>
          <w:pgSz w:h="16838" w:orient="portrait" w:w="11906"/>
          <w:pgMar w:bottom="1134" w:footer="680" w:gutter="0" w:header="397" w:left="1701" w:right="850" w:top="1134"/>
          <w:titlePg/>
        </w:sectPr>
      </w:pPr>
    </w:p>
    <w:p w14:paraId="97040000">
      <w:bookmarkStart w:id="73" w:name="__RefHeading___44"/>
      <w:bookmarkEnd w:id="73"/>
      <w:pPr>
        <w:pStyle w:val="Style_8"/>
      </w:pPr>
      <w:r>
        <w:t>Приложение Г1</w:t>
      </w:r>
    </w:p>
    <w:p w14:paraId="98040000">
      <w:pPr>
        <w:keepNext w:val="1"/>
        <w:keepLines w:val="1"/>
        <w:widowControl w:val="1"/>
        <w:ind/>
        <w:jc w:val="center"/>
      </w:pPr>
      <w:r>
        <w:rPr>
          <w:b w:val="1"/>
          <w:sz w:val="28"/>
        </w:rPr>
        <w:t>Перечень медицинских услуг для диагностики и лечения  кариеса зубов</w:t>
      </w:r>
    </w:p>
    <w:p w14:paraId="99040000">
      <w:r>
        <w:rPr>
          <w:b w:val="1"/>
        </w:rPr>
        <w:t>Таблица 1. Сбор жалоб, анамнеза, физикальное обследование</w:t>
      </w:r>
    </w:p>
    <w:tbl>
      <w:tblPr>
        <w:tblStyle w:val="Style_20"/>
        <w:tblW w:type="auto" w:w="0"/>
        <w:tblInd w:type="dxa" w:w="93"/>
        <w:tblLayout w:type="fixed"/>
      </w:tblPr>
      <w:tblGrid>
        <w:gridCol w:w="2142"/>
        <w:gridCol w:w="7087"/>
      </w:tblGrid>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9A040000">
            <w:pPr>
              <w:widowControl w:val="1"/>
              <w:spacing w:line="240" w:lineRule="auto"/>
              <w:ind/>
              <w:jc w:val="center"/>
              <w:rPr>
                <w:color w:val="00000A"/>
              </w:rPr>
            </w:pPr>
            <w:r>
              <w:t>Код медицинской услуги</w:t>
            </w:r>
          </w:p>
        </w:tc>
        <w:tc>
          <w:tcPr>
            <w:tcW w:type="dxa" w:w="7087"/>
            <w:tcBorders>
              <w:top w:color="000000" w:sz="4" w:val="single"/>
              <w:left w:sz="4" w:val="nil"/>
              <w:bottom w:color="000000" w:sz="4" w:val="single"/>
              <w:right w:color="000000" w:sz="4" w:val="single"/>
            </w:tcBorders>
            <w:vAlign w:val="center"/>
          </w:tcPr>
          <w:p w14:paraId="9B040000">
            <w:pPr>
              <w:widowControl w:val="1"/>
              <w:spacing w:line="240" w:lineRule="auto"/>
              <w:ind/>
              <w:jc w:val="center"/>
              <w:rPr>
                <w:color w:val="00000A"/>
              </w:rPr>
            </w:pPr>
            <w:r>
              <w:t>Наименование медицинской услуги</w:t>
            </w:r>
          </w:p>
        </w:tc>
      </w:tr>
      <w:tr>
        <w:trPr>
          <w:trHeight w:hRule="atLeast" w:val="419"/>
        </w:trPr>
        <w:tc>
          <w:tcPr>
            <w:tcW w:type="dxa" w:w="2142"/>
            <w:tcBorders>
              <w:top w:color="000000" w:sz="4" w:val="single"/>
              <w:left w:color="000000" w:sz="4" w:val="single"/>
              <w:bottom w:color="000000" w:sz="4" w:val="single"/>
              <w:right w:color="000000" w:sz="4" w:val="single"/>
            </w:tcBorders>
            <w:vAlign w:val="center"/>
          </w:tcPr>
          <w:p w14:paraId="9C040000">
            <w:pPr>
              <w:widowControl w:val="1"/>
              <w:spacing w:line="240" w:lineRule="auto"/>
              <w:ind w:firstLine="0"/>
              <w:jc w:val="right"/>
              <w:rPr>
                <w:color w:val="00000A"/>
              </w:rPr>
            </w:pPr>
            <w:r>
              <w:t>B01.064.001</w:t>
            </w:r>
          </w:p>
        </w:tc>
        <w:tc>
          <w:tcPr>
            <w:tcW w:type="dxa" w:w="7087"/>
            <w:tcBorders>
              <w:top w:color="000000" w:sz="4" w:val="single"/>
              <w:left w:sz="4" w:val="nil"/>
              <w:bottom w:color="000000" w:sz="4" w:val="single"/>
              <w:right w:color="000000" w:sz="4" w:val="single"/>
            </w:tcBorders>
            <w:vAlign w:val="center"/>
          </w:tcPr>
          <w:p w14:paraId="9D040000">
            <w:pPr>
              <w:widowControl w:val="1"/>
              <w:spacing w:line="240" w:lineRule="auto"/>
              <w:ind/>
              <w:rPr>
                <w:color w:val="00000A"/>
              </w:rPr>
            </w:pPr>
            <w:r>
              <w:t>Прием (осмотр, консультация) врача-стоматолога первичный</w:t>
            </w:r>
          </w:p>
        </w:tc>
      </w:tr>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9E040000">
            <w:pPr>
              <w:widowControl w:val="1"/>
              <w:spacing w:line="240" w:lineRule="auto"/>
              <w:ind w:firstLine="0"/>
              <w:jc w:val="right"/>
              <w:rPr>
                <w:color w:val="00000A"/>
              </w:rPr>
            </w:pPr>
            <w:r>
              <w:t>B01.066.001</w:t>
            </w:r>
          </w:p>
        </w:tc>
        <w:tc>
          <w:tcPr>
            <w:tcW w:type="dxa" w:w="7087"/>
            <w:tcBorders>
              <w:top w:color="000000" w:sz="4" w:val="single"/>
              <w:left w:sz="4" w:val="nil"/>
              <w:bottom w:color="000000" w:sz="4" w:val="single"/>
              <w:right w:color="000000" w:sz="4" w:val="single"/>
            </w:tcBorders>
            <w:vAlign w:val="center"/>
          </w:tcPr>
          <w:p w14:paraId="9F040000">
            <w:pPr>
              <w:widowControl w:val="1"/>
              <w:spacing w:line="240" w:lineRule="auto"/>
              <w:ind/>
              <w:rPr>
                <w:color w:val="00000A"/>
              </w:rPr>
            </w:pPr>
            <w:r>
              <w:t>Прием (осмотр, консультация) врача-стоматолога-ортопеда первичный</w:t>
            </w:r>
          </w:p>
        </w:tc>
      </w:tr>
      <w:tr>
        <w:trPr>
          <w:trHeight w:hRule="atLeast" w:val="458"/>
        </w:trPr>
        <w:tc>
          <w:tcPr>
            <w:tcW w:type="dxa" w:w="2142"/>
            <w:tcBorders>
              <w:top w:color="000000" w:sz="4" w:val="single"/>
              <w:left w:color="000000" w:sz="4" w:val="single"/>
              <w:bottom w:color="000000" w:sz="4" w:val="single"/>
              <w:right w:color="000000" w:sz="4" w:val="single"/>
            </w:tcBorders>
            <w:vAlign w:val="center"/>
          </w:tcPr>
          <w:p w14:paraId="A0040000">
            <w:pPr>
              <w:widowControl w:val="1"/>
              <w:spacing w:line="240" w:lineRule="auto"/>
              <w:ind w:firstLine="0"/>
              <w:jc w:val="right"/>
              <w:rPr>
                <w:color w:val="00000A"/>
              </w:rPr>
            </w:pPr>
            <w:r>
              <w:t>B01.064.002</w:t>
            </w:r>
          </w:p>
        </w:tc>
        <w:tc>
          <w:tcPr>
            <w:tcW w:type="dxa" w:w="7087"/>
            <w:tcBorders>
              <w:top w:color="000000" w:sz="4" w:val="single"/>
              <w:left w:sz="4" w:val="nil"/>
              <w:bottom w:color="000000" w:sz="4" w:val="single"/>
              <w:right w:color="000000" w:sz="4" w:val="single"/>
            </w:tcBorders>
            <w:vAlign w:val="center"/>
          </w:tcPr>
          <w:p w14:paraId="A1040000">
            <w:pPr>
              <w:widowControl w:val="1"/>
              <w:spacing w:line="240" w:lineRule="auto"/>
              <w:ind/>
              <w:rPr>
                <w:color w:val="00000A"/>
              </w:rPr>
            </w:pPr>
            <w:r>
              <w:t>Прием (осмотр, консультация) врача-стоматолога повторный</w:t>
            </w:r>
          </w:p>
        </w:tc>
      </w:tr>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A2040000">
            <w:pPr>
              <w:widowControl w:val="1"/>
              <w:spacing w:line="240" w:lineRule="auto"/>
              <w:ind w:firstLine="0"/>
              <w:jc w:val="right"/>
              <w:rPr>
                <w:color w:val="00000A"/>
              </w:rPr>
            </w:pPr>
            <w:r>
              <w:t>B01.066.002</w:t>
            </w:r>
          </w:p>
        </w:tc>
        <w:tc>
          <w:tcPr>
            <w:tcW w:type="dxa" w:w="7087"/>
            <w:tcBorders>
              <w:top w:color="000000" w:sz="4" w:val="single"/>
              <w:left w:sz="4" w:val="nil"/>
              <w:bottom w:color="000000" w:sz="4" w:val="single"/>
              <w:right w:color="000000" w:sz="4" w:val="single"/>
            </w:tcBorders>
            <w:vAlign w:val="center"/>
          </w:tcPr>
          <w:p w14:paraId="A3040000">
            <w:pPr>
              <w:widowControl w:val="1"/>
              <w:spacing w:line="240" w:lineRule="auto"/>
              <w:ind/>
              <w:rPr>
                <w:color w:val="00000A"/>
              </w:rPr>
            </w:pPr>
            <w:r>
              <w:t>Прием (осмотр, консультация) врача-стоматолога-ортопеда повторный</w:t>
            </w:r>
          </w:p>
        </w:tc>
      </w:tr>
      <w:tr>
        <w:trPr>
          <w:trHeight w:hRule="atLeast" w:val="600"/>
        </w:trPr>
        <w:tc>
          <w:tcPr>
            <w:tcW w:type="dxa" w:w="2142"/>
            <w:tcBorders>
              <w:top w:color="000000" w:sz="4" w:val="single"/>
              <w:left w:color="000000" w:sz="4" w:val="single"/>
              <w:bottom w:color="000000" w:sz="4" w:val="single"/>
              <w:right w:color="000000" w:sz="4" w:val="single"/>
            </w:tcBorders>
          </w:tcPr>
          <w:p w14:paraId="A4040000">
            <w:pPr>
              <w:widowControl w:val="1"/>
              <w:spacing w:line="240" w:lineRule="auto"/>
              <w:ind w:firstLine="616"/>
            </w:pPr>
            <w:r>
              <w:t xml:space="preserve">B04.065.005 </w:t>
            </w:r>
          </w:p>
        </w:tc>
        <w:tc>
          <w:tcPr>
            <w:tcW w:type="dxa" w:w="7087"/>
            <w:tcBorders>
              <w:top w:color="000000" w:sz="4" w:val="single"/>
              <w:left w:sz="4" w:val="nil"/>
              <w:bottom w:color="000000" w:sz="4" w:val="single"/>
              <w:right w:color="000000" w:sz="4" w:val="single"/>
            </w:tcBorders>
          </w:tcPr>
          <w:p w14:paraId="A5040000">
            <w:pPr>
              <w:widowControl w:val="1"/>
              <w:spacing w:line="240" w:lineRule="auto"/>
              <w:ind/>
            </w:pPr>
            <w:r>
              <w:t xml:space="preserve">Диспансерный прием (осмотр, консультация) врача-стоматолога </w:t>
            </w:r>
          </w:p>
        </w:tc>
      </w:tr>
      <w:tr>
        <w:trPr>
          <w:trHeight w:hRule="atLeast" w:val="600"/>
        </w:trPr>
        <w:tc>
          <w:tcPr>
            <w:tcW w:type="dxa" w:w="2142"/>
            <w:tcBorders>
              <w:top w:color="000000" w:sz="4" w:val="single"/>
              <w:left w:color="000000" w:sz="4" w:val="single"/>
              <w:bottom w:color="000000" w:sz="4" w:val="single"/>
              <w:right w:color="000000" w:sz="4" w:val="single"/>
            </w:tcBorders>
          </w:tcPr>
          <w:p w14:paraId="A6040000">
            <w:pPr>
              <w:widowControl w:val="1"/>
              <w:spacing w:line="240" w:lineRule="auto"/>
              <w:ind w:firstLine="616"/>
            </w:pPr>
            <w:r>
              <w:t xml:space="preserve">B04.065.006 </w:t>
            </w:r>
          </w:p>
        </w:tc>
        <w:tc>
          <w:tcPr>
            <w:tcW w:type="dxa" w:w="7087"/>
            <w:tcBorders>
              <w:top w:color="000000" w:sz="4" w:val="single"/>
              <w:left w:sz="4" w:val="nil"/>
              <w:bottom w:color="000000" w:sz="4" w:val="single"/>
              <w:right w:color="000000" w:sz="4" w:val="single"/>
            </w:tcBorders>
          </w:tcPr>
          <w:p w14:paraId="A7040000">
            <w:pPr>
              <w:widowControl w:val="1"/>
              <w:spacing w:line="240" w:lineRule="auto"/>
              <w:ind/>
            </w:pPr>
            <w:r>
              <w:t xml:space="preserve">Профилактический прием (осмотр, консультация) врача-стоматолога </w:t>
            </w:r>
          </w:p>
        </w:tc>
      </w:tr>
      <w:tr>
        <w:trPr>
          <w:trHeight w:hRule="atLeast" w:val="600"/>
        </w:trPr>
        <w:tc>
          <w:tcPr>
            <w:tcW w:type="dxa" w:w="2142"/>
            <w:tcBorders>
              <w:top w:color="000000" w:sz="4" w:val="single"/>
              <w:left w:color="000000" w:sz="4" w:val="single"/>
              <w:bottom w:color="000000" w:sz="4" w:val="single"/>
              <w:right w:color="000000" w:sz="4" w:val="single"/>
            </w:tcBorders>
          </w:tcPr>
          <w:p w14:paraId="A8040000">
            <w:pPr>
              <w:widowControl w:val="1"/>
              <w:spacing w:line="240" w:lineRule="auto"/>
              <w:ind w:firstLine="616"/>
            </w:pPr>
            <w:r>
              <w:t xml:space="preserve">B01.065.003 </w:t>
            </w:r>
          </w:p>
        </w:tc>
        <w:tc>
          <w:tcPr>
            <w:tcW w:type="dxa" w:w="7087"/>
            <w:tcBorders>
              <w:top w:color="000000" w:sz="4" w:val="single"/>
              <w:left w:sz="4" w:val="nil"/>
              <w:bottom w:color="000000" w:sz="4" w:val="single"/>
              <w:right w:color="000000" w:sz="4" w:val="single"/>
            </w:tcBorders>
          </w:tcPr>
          <w:p w14:paraId="A9040000">
            <w:pPr>
              <w:widowControl w:val="1"/>
              <w:spacing w:line="240" w:lineRule="auto"/>
              <w:ind/>
            </w:pPr>
            <w:r>
              <w:t xml:space="preserve">Прием (осмотр, консультация) зубного врача первичный </w:t>
            </w:r>
          </w:p>
        </w:tc>
      </w:tr>
      <w:tr>
        <w:trPr>
          <w:trHeight w:hRule="atLeast" w:val="600"/>
        </w:trPr>
        <w:tc>
          <w:tcPr>
            <w:tcW w:type="dxa" w:w="2142"/>
            <w:tcBorders>
              <w:top w:color="000000" w:sz="4" w:val="single"/>
              <w:left w:color="000000" w:sz="4" w:val="single"/>
              <w:bottom w:color="000000" w:sz="4" w:val="single"/>
              <w:right w:color="000000" w:sz="4" w:val="single"/>
            </w:tcBorders>
          </w:tcPr>
          <w:p w14:paraId="AA040000">
            <w:pPr>
              <w:widowControl w:val="1"/>
              <w:spacing w:line="240" w:lineRule="auto"/>
              <w:ind w:firstLine="616"/>
            </w:pPr>
            <w:r>
              <w:t xml:space="preserve">B01.065.004 </w:t>
            </w:r>
          </w:p>
        </w:tc>
        <w:tc>
          <w:tcPr>
            <w:tcW w:type="dxa" w:w="7087"/>
            <w:tcBorders>
              <w:top w:color="000000" w:sz="4" w:val="single"/>
              <w:left w:sz="4" w:val="nil"/>
              <w:bottom w:color="000000" w:sz="4" w:val="single"/>
              <w:right w:color="000000" w:sz="4" w:val="single"/>
            </w:tcBorders>
          </w:tcPr>
          <w:p w14:paraId="AB040000">
            <w:pPr>
              <w:widowControl w:val="1"/>
              <w:spacing w:line="240" w:lineRule="auto"/>
              <w:ind/>
            </w:pPr>
            <w:r>
              <w:t xml:space="preserve">Прием (осмотр, консультация) зубного врача повторный </w:t>
            </w:r>
          </w:p>
        </w:tc>
      </w:tr>
      <w:tr>
        <w:trPr>
          <w:trHeight w:hRule="atLeast" w:val="600"/>
        </w:trPr>
        <w:tc>
          <w:tcPr>
            <w:tcW w:type="dxa" w:w="2142"/>
            <w:tcBorders>
              <w:top w:color="000000" w:sz="4" w:val="single"/>
              <w:left w:color="000000" w:sz="4" w:val="single"/>
              <w:bottom w:color="000000" w:sz="4" w:val="single"/>
              <w:right w:color="000000" w:sz="4" w:val="single"/>
            </w:tcBorders>
          </w:tcPr>
          <w:p w14:paraId="AC040000">
            <w:pPr>
              <w:widowControl w:val="1"/>
              <w:spacing w:line="240" w:lineRule="auto"/>
              <w:ind w:firstLine="616"/>
            </w:pPr>
            <w:r>
              <w:t xml:space="preserve">B04.065.003 </w:t>
            </w:r>
          </w:p>
        </w:tc>
        <w:tc>
          <w:tcPr>
            <w:tcW w:type="dxa" w:w="7087"/>
            <w:tcBorders>
              <w:top w:color="000000" w:sz="4" w:val="single"/>
              <w:left w:sz="4" w:val="nil"/>
              <w:bottom w:color="000000" w:sz="4" w:val="single"/>
              <w:right w:color="000000" w:sz="4" w:val="single"/>
            </w:tcBorders>
          </w:tcPr>
          <w:p w14:paraId="AD040000">
            <w:pPr>
              <w:widowControl w:val="1"/>
              <w:spacing w:line="240" w:lineRule="auto"/>
              <w:ind/>
            </w:pPr>
            <w:r>
              <w:t xml:space="preserve">Диспансерный прием (осмотр, консультация) зубного врача </w:t>
            </w:r>
          </w:p>
        </w:tc>
      </w:tr>
      <w:tr>
        <w:trPr>
          <w:trHeight w:hRule="atLeast" w:val="600"/>
        </w:trPr>
        <w:tc>
          <w:tcPr>
            <w:tcW w:type="dxa" w:w="2142"/>
            <w:tcBorders>
              <w:top w:color="000000" w:sz="4" w:val="single"/>
              <w:left w:color="000000" w:sz="4" w:val="single"/>
              <w:bottom w:color="000000" w:sz="4" w:val="single"/>
              <w:right w:color="000000" w:sz="4" w:val="single"/>
            </w:tcBorders>
          </w:tcPr>
          <w:p w14:paraId="AE040000">
            <w:pPr>
              <w:widowControl w:val="1"/>
              <w:spacing w:line="240" w:lineRule="auto"/>
              <w:ind w:firstLine="616"/>
            </w:pPr>
            <w:r>
              <w:t xml:space="preserve">B04.065.004 </w:t>
            </w:r>
          </w:p>
        </w:tc>
        <w:tc>
          <w:tcPr>
            <w:tcW w:type="dxa" w:w="7087"/>
            <w:tcBorders>
              <w:top w:color="000000" w:sz="4" w:val="single"/>
              <w:left w:sz="4" w:val="nil"/>
              <w:bottom w:color="000000" w:sz="4" w:val="single"/>
              <w:right w:color="000000" w:sz="4" w:val="single"/>
            </w:tcBorders>
          </w:tcPr>
          <w:p w14:paraId="AF040000">
            <w:pPr>
              <w:widowControl w:val="1"/>
              <w:spacing w:line="240" w:lineRule="auto"/>
              <w:ind/>
            </w:pPr>
            <w:r>
              <w:t>Профилактический прием (осмотр, консультация) зубного врача</w:t>
            </w:r>
          </w:p>
        </w:tc>
      </w:tr>
      <w:tr>
        <w:trPr>
          <w:trHeight w:hRule="atLeast" w:val="397"/>
        </w:trPr>
        <w:tc>
          <w:tcPr>
            <w:tcW w:type="dxa" w:w="2142"/>
            <w:tcBorders>
              <w:top w:color="000000" w:sz="4" w:val="single"/>
              <w:left w:color="000000" w:sz="4" w:val="single"/>
              <w:bottom w:color="000000" w:sz="4" w:val="single"/>
              <w:right w:color="000000" w:sz="4" w:val="single"/>
            </w:tcBorders>
            <w:vAlign w:val="center"/>
          </w:tcPr>
          <w:p w14:paraId="B0040000">
            <w:pPr>
              <w:widowControl w:val="1"/>
              <w:spacing w:line="240" w:lineRule="auto"/>
              <w:ind/>
              <w:rPr>
                <w:color w:val="00000A"/>
              </w:rPr>
            </w:pPr>
            <w:r>
              <w:t>А01.07.001</w:t>
            </w:r>
          </w:p>
        </w:tc>
        <w:tc>
          <w:tcPr>
            <w:tcW w:type="dxa" w:w="7087"/>
            <w:tcBorders>
              <w:top w:color="000000" w:sz="4" w:val="single"/>
              <w:left w:sz="4" w:val="nil"/>
              <w:bottom w:color="000000" w:sz="4" w:val="single"/>
              <w:right w:color="000000" w:sz="4" w:val="single"/>
            </w:tcBorders>
            <w:vAlign w:val="center"/>
          </w:tcPr>
          <w:p w14:paraId="B1040000">
            <w:pPr>
              <w:widowControl w:val="1"/>
              <w:spacing w:line="240" w:lineRule="auto"/>
              <w:ind/>
              <w:rPr>
                <w:color w:val="00000A"/>
              </w:rPr>
            </w:pPr>
            <w:r>
              <w:t>Сбор анамнеза и жалоб при патологии полости рта</w:t>
            </w:r>
          </w:p>
        </w:tc>
      </w:tr>
      <w:tr>
        <w:trPr>
          <w:trHeight w:hRule="atLeast" w:val="349"/>
        </w:trPr>
        <w:tc>
          <w:tcPr>
            <w:tcW w:type="dxa" w:w="2142"/>
            <w:tcBorders>
              <w:top w:sz="4" w:val="nil"/>
              <w:left w:color="000000" w:sz="4" w:val="single"/>
              <w:bottom w:color="000000" w:sz="4" w:val="single"/>
              <w:right w:color="000000" w:sz="4" w:val="single"/>
            </w:tcBorders>
            <w:vAlign w:val="center"/>
          </w:tcPr>
          <w:p w14:paraId="B2040000">
            <w:pPr>
              <w:widowControl w:val="1"/>
              <w:spacing w:line="240" w:lineRule="auto"/>
              <w:ind/>
              <w:rPr>
                <w:color w:val="00000A"/>
              </w:rPr>
            </w:pPr>
            <w:r>
              <w:t>А01.07.002</w:t>
            </w:r>
          </w:p>
        </w:tc>
        <w:tc>
          <w:tcPr>
            <w:tcW w:type="dxa" w:w="7087"/>
            <w:tcBorders>
              <w:top w:sz="4" w:val="nil"/>
              <w:left w:sz="4" w:val="nil"/>
              <w:bottom w:color="000000" w:sz="4" w:val="single"/>
              <w:right w:color="000000" w:sz="4" w:val="single"/>
            </w:tcBorders>
            <w:vAlign w:val="center"/>
          </w:tcPr>
          <w:p w14:paraId="B3040000">
            <w:pPr>
              <w:widowControl w:val="1"/>
              <w:spacing w:line="240" w:lineRule="auto"/>
              <w:ind/>
              <w:rPr>
                <w:color w:val="00000A"/>
              </w:rPr>
            </w:pPr>
            <w:r>
              <w:t>Визуальное исследование при патологии полости рта</w:t>
            </w:r>
          </w:p>
        </w:tc>
      </w:tr>
      <w:tr>
        <w:trPr>
          <w:trHeight w:hRule="atLeast" w:val="301"/>
        </w:trPr>
        <w:tc>
          <w:tcPr>
            <w:tcW w:type="dxa" w:w="2142"/>
            <w:tcBorders>
              <w:top w:sz="4" w:val="nil"/>
              <w:left w:color="000000" w:sz="4" w:val="single"/>
              <w:bottom w:color="000000" w:sz="4" w:val="single"/>
              <w:right w:color="000000" w:sz="4" w:val="single"/>
            </w:tcBorders>
            <w:vAlign w:val="center"/>
          </w:tcPr>
          <w:p w14:paraId="B4040000">
            <w:pPr>
              <w:widowControl w:val="1"/>
              <w:spacing w:line="240" w:lineRule="auto"/>
              <w:ind/>
              <w:rPr>
                <w:color w:val="00000A"/>
              </w:rPr>
            </w:pPr>
            <w:r>
              <w:t>А01.07.005</w:t>
            </w:r>
          </w:p>
        </w:tc>
        <w:tc>
          <w:tcPr>
            <w:tcW w:type="dxa" w:w="7087"/>
            <w:tcBorders>
              <w:top w:sz="4" w:val="nil"/>
              <w:left w:sz="4" w:val="nil"/>
              <w:bottom w:color="000000" w:sz="4" w:val="single"/>
              <w:right w:color="000000" w:sz="4" w:val="single"/>
            </w:tcBorders>
            <w:vAlign w:val="center"/>
          </w:tcPr>
          <w:p w14:paraId="B5040000">
            <w:pPr>
              <w:widowControl w:val="1"/>
              <w:spacing w:line="240" w:lineRule="auto"/>
              <w:ind/>
              <w:rPr>
                <w:color w:val="00000A"/>
              </w:rPr>
            </w:pPr>
            <w:r>
              <w:t>Внешний осмотр челюстно-лицевой области</w:t>
            </w:r>
          </w:p>
        </w:tc>
      </w:tr>
    </w:tbl>
    <w:p w14:paraId="B6040000">
      <w:pPr>
        <w:rPr>
          <w:b w:val="1"/>
        </w:rPr>
      </w:pPr>
    </w:p>
    <w:p w14:paraId="B7040000">
      <w:pPr>
        <w:rPr>
          <w:b w:val="1"/>
        </w:rPr>
      </w:pPr>
      <w:r>
        <w:rPr>
          <w:b w:val="1"/>
        </w:rPr>
        <w:t>Таблица 2. Лабораторная диагностика</w:t>
      </w:r>
    </w:p>
    <w:tbl>
      <w:tblPr>
        <w:tblStyle w:val="Style_20"/>
        <w:tblW w:type="auto" w:w="0"/>
        <w:tblInd w:type="dxa" w:w="62"/>
        <w:tblLayout w:type="fixed"/>
        <w:tblCellMar>
          <w:top w:type="dxa" w:w="102"/>
          <w:left w:type="dxa" w:w="62"/>
          <w:bottom w:type="dxa" w:w="102"/>
          <w:right w:type="dxa" w:w="62"/>
        </w:tblCellMar>
      </w:tblPr>
      <w:tblGrid>
        <w:gridCol w:w="2134"/>
        <w:gridCol w:w="7080"/>
      </w:tblGrid>
      <w:tr>
        <w:tc>
          <w:tcPr>
            <w:tcW w:type="dxa" w:w="21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8040000">
            <w:pPr>
              <w:widowControl w:val="1"/>
              <w:spacing w:line="240" w:lineRule="auto"/>
              <w:ind/>
              <w:rPr>
                <w:color w:val="00000A"/>
              </w:rPr>
            </w:pPr>
            <w:r>
              <w:t>A26.07.004</w:t>
            </w:r>
          </w:p>
        </w:tc>
        <w:tc>
          <w:tcPr>
            <w:tcW w:type="dxa" w:w="7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9040000">
            <w:pPr>
              <w:widowControl w:val="1"/>
              <w:spacing w:line="240" w:lineRule="auto"/>
              <w:ind/>
              <w:rPr>
                <w:color w:val="00000A"/>
              </w:rPr>
            </w:pPr>
            <w:r>
              <w:t>Бактериологическое исследование отделяемого слизистой полости рта на неспорообразующие анаэробные микроорганизмы</w:t>
            </w:r>
          </w:p>
        </w:tc>
      </w:tr>
      <w:tr>
        <w:tc>
          <w:tcPr>
            <w:tcW w:type="dxa" w:w="21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A040000">
            <w:pPr>
              <w:widowControl w:val="1"/>
              <w:spacing w:line="240" w:lineRule="auto"/>
              <w:ind/>
              <w:rPr>
                <w:color w:val="00000A"/>
              </w:rPr>
            </w:pPr>
            <w:r>
              <w:t>A26.07.005</w:t>
            </w:r>
          </w:p>
        </w:tc>
        <w:tc>
          <w:tcPr>
            <w:tcW w:type="dxa" w:w="708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BB040000">
            <w:pPr>
              <w:widowControl w:val="1"/>
              <w:spacing w:line="240" w:lineRule="auto"/>
              <w:ind/>
              <w:rPr>
                <w:color w:val="00000A"/>
              </w:rPr>
            </w:pPr>
            <w:r>
              <w:t>Бактериологическое исследование абсцессов на аэробные и факультативно-анаэробные микроорганизмы</w:t>
            </w:r>
          </w:p>
        </w:tc>
      </w:tr>
    </w:tbl>
    <w:p w14:paraId="BC040000">
      <w:pPr>
        <w:widowControl w:val="1"/>
        <w:spacing w:line="240" w:lineRule="auto"/>
        <w:ind/>
        <w:rPr>
          <w:b w:val="1"/>
          <w:color w:val="00000A"/>
        </w:rPr>
      </w:pPr>
    </w:p>
    <w:p w14:paraId="BD040000">
      <w:pPr>
        <w:rPr>
          <w:b w:val="1"/>
        </w:rPr>
      </w:pPr>
      <w:r>
        <w:rPr>
          <w:b w:val="1"/>
        </w:rPr>
        <w:t>Таблица 3. Инструментальная диагностика</w:t>
      </w:r>
    </w:p>
    <w:tbl>
      <w:tblPr>
        <w:tblStyle w:val="Style_20"/>
        <w:tblW w:type="auto" w:w="0"/>
        <w:tblInd w:type="dxa" w:w="93"/>
        <w:tblLayout w:type="fixed"/>
      </w:tblPr>
      <w:tblGrid>
        <w:gridCol w:w="2142"/>
        <w:gridCol w:w="7087"/>
      </w:tblGrid>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BE040000">
            <w:pPr>
              <w:widowControl w:val="1"/>
              <w:spacing w:line="240" w:lineRule="auto"/>
              <w:ind/>
              <w:jc w:val="center"/>
              <w:rPr>
                <w:color w:val="00000A"/>
              </w:rPr>
            </w:pPr>
            <w:r>
              <w:t>Кодмедицинскойуслуги</w:t>
            </w:r>
          </w:p>
        </w:tc>
        <w:tc>
          <w:tcPr>
            <w:tcW w:type="dxa" w:w="7087"/>
            <w:tcBorders>
              <w:top w:color="000000" w:sz="4" w:val="single"/>
              <w:left w:sz="4" w:val="nil"/>
              <w:bottom w:color="000000" w:sz="4" w:val="single"/>
              <w:right w:color="000000" w:sz="4" w:val="single"/>
            </w:tcBorders>
            <w:vAlign w:val="center"/>
          </w:tcPr>
          <w:p w14:paraId="BF040000">
            <w:pPr>
              <w:widowControl w:val="1"/>
              <w:spacing w:line="240" w:lineRule="auto"/>
              <w:ind/>
              <w:jc w:val="center"/>
              <w:rPr>
                <w:color w:val="00000A"/>
              </w:rPr>
            </w:pPr>
            <w:r>
              <w:t>Наименование медицинской услуги</w:t>
            </w:r>
          </w:p>
        </w:tc>
      </w:tr>
      <w:tr>
        <w:trPr>
          <w:trHeight w:hRule="atLeast" w:val="373"/>
        </w:trPr>
        <w:tc>
          <w:tcPr>
            <w:tcW w:type="dxa" w:w="2142"/>
            <w:tcBorders>
              <w:top w:color="000000" w:sz="4" w:val="single"/>
              <w:left w:color="000000" w:sz="4" w:val="single"/>
              <w:bottom w:color="000000" w:sz="4" w:val="single"/>
              <w:right w:color="000000" w:sz="4" w:val="single"/>
            </w:tcBorders>
            <w:vAlign w:val="center"/>
          </w:tcPr>
          <w:p w14:paraId="C0040000">
            <w:pPr>
              <w:widowControl w:val="1"/>
              <w:spacing w:line="240" w:lineRule="auto"/>
              <w:ind/>
              <w:rPr>
                <w:color w:val="00000A"/>
              </w:rPr>
            </w:pPr>
            <w:r>
              <w:t>А02.07.001</w:t>
            </w:r>
          </w:p>
        </w:tc>
        <w:tc>
          <w:tcPr>
            <w:tcW w:type="dxa" w:w="7087"/>
            <w:tcBorders>
              <w:top w:color="000000" w:sz="4" w:val="single"/>
              <w:left w:color="000000" w:sz="4" w:val="single"/>
              <w:bottom w:color="000000" w:sz="4" w:val="single"/>
              <w:right w:color="000000" w:sz="4" w:val="single"/>
            </w:tcBorders>
            <w:vAlign w:val="center"/>
          </w:tcPr>
          <w:p w14:paraId="C1040000">
            <w:pPr>
              <w:widowControl w:val="1"/>
              <w:spacing w:line="240" w:lineRule="auto"/>
              <w:ind/>
              <w:rPr>
                <w:color w:val="00000A"/>
              </w:rPr>
            </w:pPr>
            <w:r>
              <w:t>Осмотр полости рта с помощью дополнительных инструментов</w:t>
            </w:r>
          </w:p>
        </w:tc>
      </w:tr>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C2040000">
            <w:pPr>
              <w:widowControl w:val="1"/>
              <w:spacing w:line="240" w:lineRule="auto"/>
              <w:ind/>
              <w:rPr>
                <w:color w:val="00000A"/>
              </w:rPr>
            </w:pPr>
            <w:r>
              <w:t>А02.07.002</w:t>
            </w:r>
          </w:p>
        </w:tc>
        <w:tc>
          <w:tcPr>
            <w:tcW w:type="dxa" w:w="7087"/>
            <w:tcBorders>
              <w:top w:color="000000" w:sz="4" w:val="single"/>
              <w:left w:sz="4" w:val="nil"/>
              <w:bottom w:color="000000" w:sz="4" w:val="single"/>
              <w:right w:color="000000" w:sz="4" w:val="single"/>
            </w:tcBorders>
            <w:vAlign w:val="center"/>
          </w:tcPr>
          <w:p w14:paraId="C3040000">
            <w:pPr>
              <w:widowControl w:val="1"/>
              <w:spacing w:line="240" w:lineRule="auto"/>
              <w:ind/>
              <w:rPr>
                <w:color w:val="00000A"/>
              </w:rPr>
            </w:pPr>
            <w:r>
              <w:t>Исследование кариозных полостей с использованием стоматологического зонда</w:t>
            </w:r>
          </w:p>
        </w:tc>
      </w:tr>
      <w:tr>
        <w:trPr>
          <w:trHeight w:hRule="atLeast" w:val="433"/>
        </w:trPr>
        <w:tc>
          <w:tcPr>
            <w:tcW w:type="dxa" w:w="2142"/>
            <w:tcBorders>
              <w:top w:sz="4" w:val="nil"/>
              <w:left w:color="000000" w:sz="4" w:val="single"/>
              <w:bottom w:color="000000" w:sz="4" w:val="single"/>
              <w:right w:color="000000" w:sz="4" w:val="single"/>
            </w:tcBorders>
            <w:vAlign w:val="center"/>
          </w:tcPr>
          <w:p w14:paraId="C4040000">
            <w:pPr>
              <w:widowControl w:val="1"/>
              <w:spacing w:line="240" w:lineRule="auto"/>
              <w:ind/>
              <w:rPr>
                <w:color w:val="00000A"/>
              </w:rPr>
            </w:pPr>
            <w:r>
              <w:t>А02.07.005</w:t>
            </w:r>
          </w:p>
        </w:tc>
        <w:tc>
          <w:tcPr>
            <w:tcW w:type="dxa" w:w="7087"/>
            <w:tcBorders>
              <w:top w:sz="4" w:val="nil"/>
              <w:left w:sz="4" w:val="nil"/>
              <w:bottom w:color="000000" w:sz="4" w:val="single"/>
              <w:right w:color="000000" w:sz="4" w:val="single"/>
            </w:tcBorders>
            <w:vAlign w:val="center"/>
          </w:tcPr>
          <w:p w14:paraId="C5040000">
            <w:pPr>
              <w:widowControl w:val="1"/>
              <w:spacing w:line="240" w:lineRule="auto"/>
              <w:ind/>
              <w:rPr>
                <w:color w:val="00000A"/>
              </w:rPr>
            </w:pPr>
            <w:r>
              <w:t>Термодиагностика зуба</w:t>
            </w:r>
          </w:p>
        </w:tc>
      </w:tr>
      <w:tr>
        <w:trPr>
          <w:trHeight w:hRule="atLeast" w:val="351"/>
        </w:trPr>
        <w:tc>
          <w:tcPr>
            <w:tcW w:type="dxa" w:w="2142"/>
            <w:tcBorders>
              <w:top w:sz="4" w:val="nil"/>
              <w:left w:color="000000" w:sz="4" w:val="single"/>
              <w:bottom w:color="000000" w:sz="4" w:val="single"/>
              <w:right w:color="000000" w:sz="4" w:val="single"/>
            </w:tcBorders>
            <w:vAlign w:val="center"/>
          </w:tcPr>
          <w:p w14:paraId="C6040000">
            <w:pPr>
              <w:widowControl w:val="1"/>
              <w:spacing w:line="240" w:lineRule="auto"/>
              <w:ind/>
              <w:rPr>
                <w:color w:val="00000A"/>
              </w:rPr>
            </w:pPr>
            <w:r>
              <w:t>А02.07.006</w:t>
            </w:r>
          </w:p>
        </w:tc>
        <w:tc>
          <w:tcPr>
            <w:tcW w:type="dxa" w:w="7087"/>
            <w:tcBorders>
              <w:top w:sz="4" w:val="nil"/>
              <w:left w:sz="4" w:val="nil"/>
              <w:bottom w:color="000000" w:sz="4" w:val="single"/>
              <w:right w:color="000000" w:sz="4" w:val="single"/>
            </w:tcBorders>
            <w:vAlign w:val="center"/>
          </w:tcPr>
          <w:p w14:paraId="C7040000">
            <w:pPr>
              <w:widowControl w:val="1"/>
              <w:spacing w:line="240" w:lineRule="auto"/>
              <w:ind/>
              <w:rPr>
                <w:color w:val="00000A"/>
              </w:rPr>
            </w:pPr>
            <w:r>
              <w:t>Определение прикуса</w:t>
            </w:r>
          </w:p>
        </w:tc>
      </w:tr>
      <w:tr>
        <w:trPr>
          <w:trHeight w:hRule="atLeast" w:val="413"/>
        </w:trPr>
        <w:tc>
          <w:tcPr>
            <w:tcW w:type="dxa" w:w="2142"/>
            <w:tcBorders>
              <w:top w:sz="4" w:val="nil"/>
              <w:left w:color="000000" w:sz="4" w:val="single"/>
              <w:bottom w:color="000000" w:sz="4" w:val="single"/>
              <w:right w:color="000000" w:sz="4" w:val="single"/>
            </w:tcBorders>
            <w:vAlign w:val="center"/>
          </w:tcPr>
          <w:p w14:paraId="C8040000">
            <w:pPr>
              <w:widowControl w:val="1"/>
              <w:spacing w:line="240" w:lineRule="auto"/>
              <w:ind/>
              <w:rPr>
                <w:color w:val="00000A"/>
              </w:rPr>
            </w:pPr>
            <w:r>
              <w:t>А02.07.007</w:t>
            </w:r>
          </w:p>
        </w:tc>
        <w:tc>
          <w:tcPr>
            <w:tcW w:type="dxa" w:w="7087"/>
            <w:tcBorders>
              <w:top w:sz="4" w:val="nil"/>
              <w:left w:sz="4" w:val="nil"/>
              <w:bottom w:color="000000" w:sz="4" w:val="single"/>
              <w:right w:color="000000" w:sz="4" w:val="single"/>
            </w:tcBorders>
            <w:vAlign w:val="center"/>
          </w:tcPr>
          <w:p w14:paraId="C9040000">
            <w:pPr>
              <w:widowControl w:val="1"/>
              <w:spacing w:line="240" w:lineRule="auto"/>
              <w:ind/>
              <w:rPr>
                <w:color w:val="00000A"/>
              </w:rPr>
            </w:pPr>
            <w:r>
              <w:t>Перкуссия зубов</w:t>
            </w:r>
          </w:p>
        </w:tc>
      </w:tr>
      <w:tr>
        <w:trPr>
          <w:trHeight w:hRule="atLeast" w:val="237"/>
        </w:trPr>
        <w:tc>
          <w:tcPr>
            <w:tcW w:type="dxa" w:w="2142"/>
            <w:tcBorders>
              <w:top w:sz="4" w:val="nil"/>
              <w:left w:color="000000" w:sz="4" w:val="single"/>
              <w:bottom w:color="000000" w:sz="4" w:val="single"/>
              <w:right w:color="000000" w:sz="4" w:val="single"/>
            </w:tcBorders>
            <w:vAlign w:val="center"/>
          </w:tcPr>
          <w:p w14:paraId="CA040000">
            <w:pPr>
              <w:widowControl w:val="1"/>
              <w:spacing w:line="240" w:lineRule="auto"/>
              <w:ind/>
              <w:rPr>
                <w:color w:val="00000A"/>
              </w:rPr>
            </w:pPr>
            <w:r>
              <w:t>А03.07.001</w:t>
            </w:r>
          </w:p>
        </w:tc>
        <w:tc>
          <w:tcPr>
            <w:tcW w:type="dxa" w:w="7087"/>
            <w:tcBorders>
              <w:top w:sz="4" w:val="nil"/>
              <w:left w:sz="4" w:val="nil"/>
              <w:bottom w:color="000000" w:sz="4" w:val="single"/>
              <w:right w:color="000000" w:sz="4" w:val="single"/>
            </w:tcBorders>
            <w:vAlign w:val="center"/>
          </w:tcPr>
          <w:p w14:paraId="CB040000">
            <w:pPr>
              <w:widowControl w:val="1"/>
              <w:spacing w:line="240" w:lineRule="auto"/>
              <w:ind/>
              <w:rPr>
                <w:color w:val="00000A"/>
              </w:rPr>
            </w:pPr>
            <w:r>
              <w:t>Люминесцентная стоматоскопия</w:t>
            </w:r>
          </w:p>
        </w:tc>
      </w:tr>
      <w:tr>
        <w:trPr>
          <w:trHeight w:hRule="atLeast" w:val="423"/>
        </w:trPr>
        <w:tc>
          <w:tcPr>
            <w:tcW w:type="dxa" w:w="2142"/>
            <w:tcBorders>
              <w:top w:sz="4" w:val="nil"/>
              <w:left w:color="000000" w:sz="4" w:val="single"/>
              <w:bottom w:color="000000" w:sz="4" w:val="single"/>
              <w:right w:color="000000" w:sz="4" w:val="single"/>
            </w:tcBorders>
            <w:vAlign w:val="center"/>
          </w:tcPr>
          <w:p w14:paraId="CC040000">
            <w:pPr>
              <w:widowControl w:val="1"/>
              <w:spacing w:line="240" w:lineRule="auto"/>
              <w:ind/>
              <w:rPr>
                <w:color w:val="00000A"/>
              </w:rPr>
            </w:pPr>
            <w:r>
              <w:t>А03.07.002</w:t>
            </w:r>
          </w:p>
        </w:tc>
        <w:tc>
          <w:tcPr>
            <w:tcW w:type="dxa" w:w="7087"/>
            <w:tcBorders>
              <w:top w:sz="4" w:val="nil"/>
              <w:left w:sz="4" w:val="nil"/>
              <w:bottom w:color="000000" w:sz="4" w:val="single"/>
              <w:right w:color="000000" w:sz="4" w:val="single"/>
            </w:tcBorders>
            <w:vAlign w:val="center"/>
          </w:tcPr>
          <w:p w14:paraId="CD040000">
            <w:pPr>
              <w:widowControl w:val="1"/>
              <w:spacing w:line="240" w:lineRule="auto"/>
              <w:ind/>
              <w:rPr>
                <w:color w:val="00000A"/>
              </w:rPr>
            </w:pPr>
            <w:r>
              <w:t>Транслюминесцентная стоматоскопия</w:t>
            </w:r>
          </w:p>
        </w:tc>
      </w:tr>
      <w:tr>
        <w:trPr>
          <w:trHeight w:hRule="atLeast" w:val="367"/>
        </w:trPr>
        <w:tc>
          <w:tcPr>
            <w:tcW w:type="dxa" w:w="2142"/>
            <w:tcBorders>
              <w:top w:color="000000" w:sz="4" w:val="single"/>
              <w:left w:color="000000" w:sz="4" w:val="single"/>
              <w:bottom w:color="000000" w:sz="4" w:val="single"/>
              <w:right w:color="000000" w:sz="4" w:val="single"/>
            </w:tcBorders>
            <w:vAlign w:val="center"/>
          </w:tcPr>
          <w:p w14:paraId="CE040000">
            <w:pPr>
              <w:widowControl w:val="1"/>
              <w:spacing w:line="240" w:lineRule="auto"/>
              <w:ind/>
              <w:rPr>
                <w:color w:val="00000A"/>
              </w:rPr>
            </w:pPr>
            <w:r>
              <w:t>А05.07.001</w:t>
            </w:r>
          </w:p>
        </w:tc>
        <w:tc>
          <w:tcPr>
            <w:tcW w:type="dxa" w:w="7087"/>
            <w:tcBorders>
              <w:top w:color="000000" w:sz="4" w:val="single"/>
              <w:left w:sz="4" w:val="nil"/>
              <w:bottom w:color="000000" w:sz="4" w:val="single"/>
              <w:right w:color="000000" w:sz="4" w:val="single"/>
            </w:tcBorders>
            <w:vAlign w:val="center"/>
          </w:tcPr>
          <w:p w14:paraId="CF040000">
            <w:pPr>
              <w:widowControl w:val="1"/>
              <w:spacing w:line="240" w:lineRule="auto"/>
              <w:ind/>
              <w:rPr>
                <w:color w:val="00000A"/>
              </w:rPr>
            </w:pPr>
            <w:r>
              <w:t>Электроодонтометрия</w:t>
            </w:r>
          </w:p>
        </w:tc>
      </w:tr>
      <w:tr>
        <w:trPr>
          <w:trHeight w:hRule="atLeast" w:val="303"/>
        </w:trPr>
        <w:tc>
          <w:tcPr>
            <w:tcW w:type="dxa" w:w="2142"/>
            <w:tcBorders>
              <w:top w:sz="4" w:val="nil"/>
              <w:left w:color="000000" w:sz="4" w:val="single"/>
              <w:bottom w:color="000000" w:sz="4" w:val="single"/>
              <w:right w:color="000000" w:sz="4" w:val="single"/>
            </w:tcBorders>
            <w:vAlign w:val="center"/>
          </w:tcPr>
          <w:p w14:paraId="D0040000">
            <w:pPr>
              <w:widowControl w:val="1"/>
              <w:spacing w:line="240" w:lineRule="auto"/>
              <w:ind/>
              <w:rPr>
                <w:color w:val="00000A"/>
              </w:rPr>
            </w:pPr>
            <w:r>
              <w:t>А06.07.003</w:t>
            </w:r>
          </w:p>
        </w:tc>
        <w:tc>
          <w:tcPr>
            <w:tcW w:type="dxa" w:w="7087"/>
            <w:tcBorders>
              <w:top w:sz="4" w:val="nil"/>
              <w:left w:sz="4" w:val="nil"/>
              <w:bottom w:color="000000" w:sz="4" w:val="single"/>
              <w:right w:color="000000" w:sz="4" w:val="single"/>
            </w:tcBorders>
            <w:vAlign w:val="center"/>
          </w:tcPr>
          <w:p w14:paraId="D1040000">
            <w:pPr>
              <w:widowControl w:val="1"/>
              <w:spacing w:line="240" w:lineRule="auto"/>
              <w:ind/>
              <w:rPr>
                <w:color w:val="00000A"/>
              </w:rPr>
            </w:pPr>
            <w:r>
              <w:t>Прицельная внутриротовая контактная рентгенография</w:t>
            </w:r>
          </w:p>
        </w:tc>
      </w:tr>
      <w:tr>
        <w:trPr>
          <w:trHeight w:hRule="atLeast" w:val="309"/>
        </w:trPr>
        <w:tc>
          <w:tcPr>
            <w:tcW w:type="dxa" w:w="2142"/>
            <w:tcBorders>
              <w:top w:sz="4" w:val="nil"/>
              <w:left w:color="000000" w:sz="4" w:val="single"/>
              <w:bottom w:color="000000" w:sz="4" w:val="single"/>
              <w:right w:color="000000" w:sz="4" w:val="single"/>
            </w:tcBorders>
            <w:vAlign w:val="center"/>
          </w:tcPr>
          <w:p w14:paraId="D2040000">
            <w:pPr>
              <w:widowControl w:val="1"/>
              <w:spacing w:line="240" w:lineRule="auto"/>
              <w:ind/>
              <w:rPr>
                <w:color w:val="00000A"/>
              </w:rPr>
            </w:pPr>
            <w:r>
              <w:t>А06.07.004</w:t>
            </w:r>
          </w:p>
        </w:tc>
        <w:tc>
          <w:tcPr>
            <w:tcW w:type="dxa" w:w="7087"/>
            <w:tcBorders>
              <w:top w:sz="4" w:val="nil"/>
              <w:left w:sz="4" w:val="nil"/>
              <w:bottom w:color="000000" w:sz="4" w:val="single"/>
              <w:right w:color="000000" w:sz="4" w:val="single"/>
            </w:tcBorders>
            <w:vAlign w:val="center"/>
          </w:tcPr>
          <w:p w14:paraId="D3040000">
            <w:pPr>
              <w:widowControl w:val="1"/>
              <w:spacing w:line="240" w:lineRule="auto"/>
              <w:ind/>
              <w:rPr>
                <w:color w:val="00000A"/>
              </w:rPr>
            </w:pPr>
            <w:r>
              <w:t>Ортопантомография</w:t>
            </w:r>
          </w:p>
        </w:tc>
      </w:tr>
      <w:tr>
        <w:trPr>
          <w:trHeight w:hRule="atLeast" w:val="427"/>
        </w:trPr>
        <w:tc>
          <w:tcPr>
            <w:tcW w:type="dxa" w:w="2142"/>
            <w:tcBorders>
              <w:top w:sz="4" w:val="nil"/>
              <w:left w:color="000000" w:sz="4" w:val="single"/>
              <w:bottom w:color="000000" w:sz="4" w:val="single"/>
              <w:right w:color="000000" w:sz="4" w:val="single"/>
            </w:tcBorders>
            <w:vAlign w:val="center"/>
          </w:tcPr>
          <w:p w14:paraId="D4040000">
            <w:pPr>
              <w:widowControl w:val="1"/>
              <w:spacing w:line="240" w:lineRule="auto"/>
              <w:ind/>
              <w:rPr>
                <w:color w:val="00000A"/>
              </w:rPr>
            </w:pPr>
            <w:r>
              <w:t>А06.07.010</w:t>
            </w:r>
          </w:p>
        </w:tc>
        <w:tc>
          <w:tcPr>
            <w:tcW w:type="dxa" w:w="7087"/>
            <w:tcBorders>
              <w:top w:sz="4" w:val="nil"/>
              <w:left w:sz="4" w:val="nil"/>
              <w:bottom w:color="000000" w:sz="4" w:val="single"/>
              <w:right w:color="000000" w:sz="4" w:val="single"/>
            </w:tcBorders>
            <w:vAlign w:val="center"/>
          </w:tcPr>
          <w:p w14:paraId="D5040000">
            <w:pPr>
              <w:widowControl w:val="1"/>
              <w:spacing w:line="240" w:lineRule="auto"/>
              <w:ind/>
              <w:rPr>
                <w:color w:val="00000A"/>
              </w:rPr>
            </w:pPr>
            <w:r>
              <w:t>Радиовизиография челюстно-лицевой области</w:t>
            </w:r>
          </w:p>
        </w:tc>
      </w:tr>
    </w:tbl>
    <w:p w14:paraId="D6040000">
      <w:pPr>
        <w:rPr>
          <w:b w:val="1"/>
          <w:color w:val="00000A"/>
        </w:rPr>
      </w:pPr>
    </w:p>
    <w:p w14:paraId="D7040000">
      <w:pPr>
        <w:rPr>
          <w:b w:val="1"/>
        </w:rPr>
      </w:pPr>
    </w:p>
    <w:p w14:paraId="D8040000">
      <w:pPr>
        <w:rPr>
          <w:b w:val="1"/>
        </w:rPr>
      </w:pPr>
      <w:r>
        <w:rPr>
          <w:b w:val="1"/>
        </w:rPr>
        <w:t>Таблица 4. Иная диагностика</w:t>
      </w:r>
    </w:p>
    <w:tbl>
      <w:tblPr>
        <w:tblStyle w:val="Style_20"/>
        <w:tblW w:type="auto" w:w="0"/>
        <w:tblInd w:type="dxa" w:w="93"/>
        <w:tblLayout w:type="fixed"/>
      </w:tblPr>
      <w:tblGrid>
        <w:gridCol w:w="3387"/>
        <w:gridCol w:w="5842"/>
      </w:tblGrid>
      <w:tr>
        <w:trPr>
          <w:trHeight w:hRule="atLeast" w:val="600"/>
        </w:trPr>
        <w:tc>
          <w:tcPr>
            <w:tcW w:type="dxa" w:w="3387"/>
            <w:tcBorders>
              <w:top w:color="000000" w:sz="4" w:val="single"/>
              <w:left w:color="000000" w:sz="4" w:val="single"/>
              <w:bottom w:color="000000" w:sz="4" w:val="single"/>
              <w:right w:color="000000" w:sz="4" w:val="single"/>
            </w:tcBorders>
            <w:vAlign w:val="center"/>
          </w:tcPr>
          <w:p w14:paraId="D9040000">
            <w:pPr>
              <w:widowControl w:val="1"/>
              <w:spacing w:line="240" w:lineRule="auto"/>
              <w:ind/>
              <w:jc w:val="center"/>
              <w:rPr>
                <w:color w:val="00000A"/>
              </w:rPr>
            </w:pPr>
            <w:r>
              <w:t>Кодмедицинскойуслуги</w:t>
            </w:r>
          </w:p>
        </w:tc>
        <w:tc>
          <w:tcPr>
            <w:tcW w:type="dxa" w:w="5842"/>
            <w:tcBorders>
              <w:top w:color="000000" w:sz="4" w:val="single"/>
              <w:left w:sz="4" w:val="nil"/>
              <w:bottom w:color="000000" w:sz="4" w:val="single"/>
              <w:right w:color="000000" w:sz="4" w:val="single"/>
            </w:tcBorders>
            <w:vAlign w:val="center"/>
          </w:tcPr>
          <w:p w14:paraId="DA040000">
            <w:pPr>
              <w:widowControl w:val="1"/>
              <w:spacing w:line="240" w:lineRule="auto"/>
              <w:ind/>
              <w:jc w:val="center"/>
              <w:rPr>
                <w:color w:val="00000A"/>
              </w:rPr>
            </w:pPr>
            <w:r>
              <w:t>Наименование медицинской услуги</w:t>
            </w:r>
          </w:p>
        </w:tc>
      </w:tr>
      <w:tr>
        <w:trPr>
          <w:trHeight w:hRule="atLeast" w:val="600"/>
        </w:trPr>
        <w:tc>
          <w:tcPr>
            <w:tcW w:type="dxa" w:w="3387"/>
            <w:tcBorders>
              <w:top w:color="000000" w:sz="4" w:val="single"/>
              <w:left w:color="000000" w:sz="4" w:val="single"/>
              <w:bottom w:color="000000" w:sz="4" w:val="single"/>
              <w:right w:color="000000" w:sz="4" w:val="single"/>
            </w:tcBorders>
            <w:vAlign w:val="center"/>
          </w:tcPr>
          <w:p w14:paraId="DB040000">
            <w:pPr>
              <w:widowControl w:val="1"/>
              <w:spacing w:line="240" w:lineRule="auto"/>
              <w:ind/>
              <w:rPr>
                <w:color w:val="00000A"/>
              </w:rPr>
            </w:pPr>
            <w:r>
              <w:t>А12.07.001</w:t>
            </w:r>
          </w:p>
        </w:tc>
        <w:tc>
          <w:tcPr>
            <w:tcW w:type="dxa" w:w="5842"/>
            <w:tcBorders>
              <w:top w:color="000000" w:sz="4" w:val="single"/>
              <w:left w:sz="4" w:val="nil"/>
              <w:bottom w:color="000000" w:sz="4" w:val="single"/>
              <w:right w:color="000000" w:sz="4" w:val="single"/>
            </w:tcBorders>
            <w:vAlign w:val="center"/>
          </w:tcPr>
          <w:p w14:paraId="DC040000">
            <w:pPr>
              <w:widowControl w:val="1"/>
              <w:spacing w:line="240" w:lineRule="auto"/>
              <w:ind/>
              <w:rPr>
                <w:color w:val="00000A"/>
              </w:rPr>
            </w:pPr>
            <w:r>
              <w:t>Витальное окрашивание твердых тканей зуба</w:t>
            </w:r>
          </w:p>
        </w:tc>
      </w:tr>
      <w:tr>
        <w:trPr>
          <w:trHeight w:hRule="atLeast" w:val="600"/>
        </w:trPr>
        <w:tc>
          <w:tcPr>
            <w:tcW w:type="dxa" w:w="3387"/>
            <w:tcBorders>
              <w:top w:color="000000" w:sz="4" w:val="single"/>
              <w:left w:color="000000" w:sz="4" w:val="single"/>
              <w:bottom w:color="000000" w:sz="4" w:val="single"/>
              <w:right w:color="000000" w:sz="4" w:val="single"/>
            </w:tcBorders>
            <w:vAlign w:val="center"/>
          </w:tcPr>
          <w:p w14:paraId="DD040000">
            <w:pPr>
              <w:widowControl w:val="1"/>
              <w:spacing w:line="240" w:lineRule="auto"/>
              <w:ind/>
              <w:rPr>
                <w:color w:val="00000A"/>
              </w:rPr>
            </w:pPr>
            <w:r>
              <w:t>А12.07.003</w:t>
            </w:r>
          </w:p>
        </w:tc>
        <w:tc>
          <w:tcPr>
            <w:tcW w:type="dxa" w:w="5842"/>
            <w:tcBorders>
              <w:top w:color="000000" w:sz="4" w:val="single"/>
              <w:left w:sz="4" w:val="nil"/>
              <w:bottom w:color="000000" w:sz="4" w:val="single"/>
              <w:right w:color="000000" w:sz="4" w:val="single"/>
            </w:tcBorders>
            <w:vAlign w:val="center"/>
          </w:tcPr>
          <w:p w14:paraId="DE040000">
            <w:pPr>
              <w:widowControl w:val="1"/>
              <w:spacing w:line="240" w:lineRule="auto"/>
              <w:ind/>
              <w:rPr>
                <w:color w:val="00000A"/>
              </w:rPr>
            </w:pPr>
            <w:r>
              <w:t>Определение индексов гигиены полости рта</w:t>
            </w:r>
          </w:p>
        </w:tc>
      </w:tr>
    </w:tbl>
    <w:p w14:paraId="DF040000">
      <w:pPr>
        <w:widowControl w:val="1"/>
        <w:spacing w:line="240" w:lineRule="auto"/>
        <w:ind/>
        <w:rPr>
          <w:b w:val="1"/>
          <w:color w:val="00000A"/>
        </w:rPr>
      </w:pPr>
    </w:p>
    <w:p w14:paraId="E0040000">
      <w:r>
        <w:rPr>
          <w:b w:val="1"/>
        </w:rPr>
        <w:t>Таблица 5. Консервативное лечение</w:t>
      </w:r>
    </w:p>
    <w:tbl>
      <w:tblPr>
        <w:tblStyle w:val="Style_20"/>
        <w:tblW w:type="auto" w:w="0"/>
        <w:tblInd w:type="dxa" w:w="93"/>
        <w:tblLayout w:type="fixed"/>
      </w:tblPr>
      <w:tblGrid>
        <w:gridCol w:w="3387"/>
        <w:gridCol w:w="5842"/>
      </w:tblGrid>
      <w:tr>
        <w:trPr>
          <w:trHeight w:hRule="atLeast" w:val="600"/>
        </w:trPr>
        <w:tc>
          <w:tcPr>
            <w:tcW w:type="dxa" w:w="3387"/>
            <w:tcBorders>
              <w:top w:color="000000" w:sz="4" w:val="single"/>
              <w:left w:color="000000" w:sz="4" w:val="single"/>
              <w:bottom w:color="000000" w:sz="4" w:val="single"/>
              <w:right w:color="000000" w:sz="4" w:val="single"/>
            </w:tcBorders>
            <w:vAlign w:val="center"/>
          </w:tcPr>
          <w:p w14:paraId="E1040000">
            <w:pPr>
              <w:widowControl w:val="1"/>
              <w:spacing w:line="240" w:lineRule="auto"/>
              <w:ind/>
              <w:jc w:val="center"/>
              <w:rPr>
                <w:color w:val="00000A"/>
              </w:rPr>
            </w:pPr>
            <w:r>
              <w:t>Кодмедицинскойуслуги</w:t>
            </w:r>
          </w:p>
        </w:tc>
        <w:tc>
          <w:tcPr>
            <w:tcW w:type="dxa" w:w="5842"/>
            <w:tcBorders>
              <w:top w:color="000000" w:sz="4" w:val="single"/>
              <w:left w:sz="4" w:val="nil"/>
              <w:bottom w:color="000000" w:sz="4" w:val="single"/>
              <w:right w:color="000000" w:sz="4" w:val="single"/>
            </w:tcBorders>
            <w:vAlign w:val="center"/>
          </w:tcPr>
          <w:p w14:paraId="E2040000">
            <w:pPr>
              <w:widowControl w:val="1"/>
              <w:spacing w:line="240" w:lineRule="auto"/>
              <w:ind/>
              <w:jc w:val="center"/>
              <w:rPr>
                <w:color w:val="00000A"/>
              </w:rPr>
            </w:pPr>
            <w:r>
              <w:t>Наименование медицинской услуги</w:t>
            </w:r>
          </w:p>
        </w:tc>
      </w:tr>
      <w:tr>
        <w:trPr>
          <w:trHeight w:hRule="atLeast" w:val="375"/>
        </w:trPr>
        <w:tc>
          <w:tcPr>
            <w:tcW w:type="dxa" w:w="3387"/>
            <w:tcBorders>
              <w:top w:color="000000" w:sz="4" w:val="single"/>
              <w:left w:color="000000" w:sz="4" w:val="single"/>
              <w:bottom w:color="000000" w:sz="4" w:val="single"/>
              <w:right w:color="000000" w:sz="4" w:val="single"/>
            </w:tcBorders>
            <w:vAlign w:val="center"/>
          </w:tcPr>
          <w:p w14:paraId="E3040000">
            <w:pPr>
              <w:widowControl w:val="1"/>
              <w:spacing w:line="240" w:lineRule="auto"/>
              <w:ind/>
              <w:rPr>
                <w:color w:val="00000A"/>
              </w:rPr>
            </w:pPr>
            <w:r>
              <w:t>A11.07.012</w:t>
            </w:r>
          </w:p>
        </w:tc>
        <w:tc>
          <w:tcPr>
            <w:tcW w:type="dxa" w:w="5842"/>
            <w:tcBorders>
              <w:top w:color="000000" w:sz="4" w:val="single"/>
              <w:left w:sz="4" w:val="nil"/>
              <w:bottom w:color="000000" w:sz="4" w:val="single"/>
              <w:right w:color="000000" w:sz="4" w:val="single"/>
            </w:tcBorders>
            <w:vAlign w:val="center"/>
          </w:tcPr>
          <w:p w14:paraId="E4040000">
            <w:pPr>
              <w:widowControl w:val="1"/>
              <w:spacing w:line="240" w:lineRule="auto"/>
              <w:ind/>
              <w:rPr>
                <w:color w:val="00000A"/>
              </w:rPr>
            </w:pPr>
            <w:r>
              <w:t>Глубокое фторирование твердых тканей зубов</w:t>
            </w:r>
          </w:p>
        </w:tc>
      </w:tr>
      <w:tr>
        <w:trPr>
          <w:trHeight w:hRule="atLeast" w:val="375"/>
        </w:trPr>
        <w:tc>
          <w:tcPr>
            <w:tcW w:type="dxa" w:w="3387"/>
            <w:tcBorders>
              <w:top w:color="000000" w:sz="4" w:val="single"/>
              <w:left w:color="000000" w:sz="4" w:val="single"/>
              <w:bottom w:color="000000" w:sz="4" w:val="single"/>
              <w:right w:color="000000" w:sz="4" w:val="single"/>
            </w:tcBorders>
          </w:tcPr>
          <w:p w14:paraId="E5040000">
            <w:pPr>
              <w:widowControl w:val="1"/>
              <w:spacing w:line="240" w:lineRule="auto"/>
              <w:ind/>
            </w:pPr>
            <w:r>
              <w:t xml:space="preserve">A11.07.024 </w:t>
            </w:r>
          </w:p>
        </w:tc>
        <w:tc>
          <w:tcPr>
            <w:tcW w:type="dxa" w:w="5842"/>
            <w:tcBorders>
              <w:top w:color="000000" w:sz="4" w:val="single"/>
              <w:left w:sz="4" w:val="nil"/>
              <w:bottom w:color="000000" w:sz="4" w:val="single"/>
              <w:right w:color="000000" w:sz="4" w:val="single"/>
            </w:tcBorders>
          </w:tcPr>
          <w:p w14:paraId="E6040000">
            <w:pPr>
              <w:widowControl w:val="1"/>
              <w:spacing w:line="240" w:lineRule="auto"/>
              <w:ind/>
            </w:pPr>
            <w:r>
              <w:t xml:space="preserve">Местное применение реминерализующих препаратов в области зуба </w:t>
            </w:r>
          </w:p>
        </w:tc>
      </w:tr>
    </w:tbl>
    <w:p w14:paraId="E7040000">
      <w:pPr>
        <w:widowControl w:val="1"/>
        <w:spacing w:line="240" w:lineRule="auto"/>
        <w:ind/>
        <w:rPr>
          <w:b w:val="1"/>
          <w:color w:val="00000A"/>
        </w:rPr>
      </w:pPr>
    </w:p>
    <w:p w14:paraId="E8040000">
      <w:pPr>
        <w:widowControl w:val="1"/>
        <w:spacing w:line="240" w:lineRule="auto"/>
        <w:ind/>
        <w:rPr>
          <w:b w:val="1"/>
          <w:color w:val="00000A"/>
        </w:rPr>
      </w:pPr>
    </w:p>
    <w:p w14:paraId="E9040000">
      <w:pPr>
        <w:rPr>
          <w:b w:val="1"/>
        </w:rPr>
      </w:pPr>
    </w:p>
    <w:p w14:paraId="EA040000">
      <w:r>
        <w:rPr>
          <w:b w:val="1"/>
        </w:rPr>
        <w:t>Таблица 6. Оперативное лечение</w:t>
      </w:r>
    </w:p>
    <w:tbl>
      <w:tblPr>
        <w:tblStyle w:val="Style_20"/>
        <w:tblW w:type="auto" w:w="0"/>
        <w:tblInd w:type="dxa" w:w="93"/>
        <w:tblLayout w:type="fixed"/>
      </w:tblPr>
      <w:tblGrid>
        <w:gridCol w:w="2142"/>
        <w:gridCol w:w="7087"/>
      </w:tblGrid>
      <w:tr>
        <w:trPr>
          <w:trHeight w:hRule="atLeast" w:val="600"/>
        </w:trPr>
        <w:tc>
          <w:tcPr>
            <w:tcW w:type="dxa" w:w="2142"/>
            <w:tcBorders>
              <w:top w:color="000000" w:sz="4" w:val="single"/>
              <w:left w:color="000000" w:sz="4" w:val="single"/>
              <w:bottom w:color="000000" w:sz="4" w:val="single"/>
              <w:right w:color="000000" w:sz="4" w:val="single"/>
            </w:tcBorders>
            <w:vAlign w:val="center"/>
          </w:tcPr>
          <w:p w14:paraId="EB040000">
            <w:pPr>
              <w:widowControl w:val="1"/>
              <w:spacing w:line="240" w:lineRule="auto"/>
              <w:ind w:firstLine="0"/>
              <w:jc w:val="center"/>
              <w:rPr>
                <w:color w:val="00000A"/>
              </w:rPr>
            </w:pPr>
            <w:r>
              <w:t>Кодмедицинскойуслуги</w:t>
            </w:r>
          </w:p>
        </w:tc>
        <w:tc>
          <w:tcPr>
            <w:tcW w:type="dxa" w:w="7087"/>
            <w:tcBorders>
              <w:top w:color="000000" w:sz="4" w:val="single"/>
              <w:left w:sz="4" w:val="nil"/>
              <w:bottom w:color="000000" w:sz="4" w:val="single"/>
              <w:right w:color="000000" w:sz="4" w:val="single"/>
            </w:tcBorders>
            <w:vAlign w:val="center"/>
          </w:tcPr>
          <w:p w14:paraId="EC040000">
            <w:pPr>
              <w:widowControl w:val="1"/>
              <w:spacing w:line="240" w:lineRule="auto"/>
              <w:ind/>
              <w:jc w:val="center"/>
              <w:rPr>
                <w:color w:val="00000A"/>
              </w:rPr>
            </w:pPr>
            <w:r>
              <w:t>Наименование медицинской услуги</w:t>
            </w:r>
          </w:p>
        </w:tc>
      </w:tr>
      <w:tr>
        <w:trPr>
          <w:trHeight w:hRule="atLeast" w:val="467"/>
        </w:trPr>
        <w:tc>
          <w:tcPr>
            <w:tcW w:type="dxa" w:w="2142"/>
            <w:tcBorders>
              <w:top w:color="000000" w:sz="4" w:val="single"/>
              <w:left w:color="000000" w:sz="4" w:val="single"/>
              <w:bottom w:color="000000" w:sz="4" w:val="single"/>
              <w:right w:color="000000" w:sz="4" w:val="single"/>
            </w:tcBorders>
            <w:vAlign w:val="center"/>
          </w:tcPr>
          <w:p w14:paraId="ED040000">
            <w:pPr>
              <w:widowControl w:val="1"/>
              <w:spacing w:line="240" w:lineRule="auto"/>
              <w:ind w:firstLine="0"/>
              <w:rPr>
                <w:color w:val="00000A"/>
              </w:rPr>
            </w:pPr>
            <w:r>
              <w:t>B01.003.004.002</w:t>
            </w:r>
          </w:p>
        </w:tc>
        <w:tc>
          <w:tcPr>
            <w:tcW w:type="dxa" w:w="7087"/>
            <w:tcBorders>
              <w:top w:color="000000" w:sz="4" w:val="single"/>
              <w:left w:sz="4" w:val="nil"/>
              <w:bottom w:color="000000" w:sz="4" w:val="single"/>
              <w:right w:color="000000" w:sz="4" w:val="single"/>
            </w:tcBorders>
            <w:vAlign w:val="center"/>
          </w:tcPr>
          <w:p w14:paraId="EE040000">
            <w:pPr>
              <w:widowControl w:val="1"/>
              <w:spacing w:line="240" w:lineRule="auto"/>
              <w:ind/>
              <w:rPr>
                <w:color w:val="00000A"/>
              </w:rPr>
            </w:pPr>
            <w:r>
              <w:t xml:space="preserve">Проводниковая анестезия </w:t>
            </w:r>
          </w:p>
        </w:tc>
      </w:tr>
      <w:tr>
        <w:trPr>
          <w:trHeight w:hRule="atLeast" w:val="417"/>
        </w:trPr>
        <w:tc>
          <w:tcPr>
            <w:tcW w:type="dxa" w:w="2142"/>
            <w:tcBorders>
              <w:top w:color="000000" w:sz="4" w:val="single"/>
              <w:left w:color="000000" w:sz="4" w:val="single"/>
              <w:bottom w:color="000000" w:sz="4" w:val="single"/>
              <w:right w:color="000000" w:sz="4" w:val="single"/>
            </w:tcBorders>
            <w:vAlign w:val="center"/>
          </w:tcPr>
          <w:p w14:paraId="EF040000">
            <w:pPr>
              <w:widowControl w:val="1"/>
              <w:spacing w:line="240" w:lineRule="auto"/>
              <w:ind w:firstLine="0"/>
              <w:rPr>
                <w:color w:val="00000A"/>
              </w:rPr>
            </w:pPr>
            <w:r>
              <w:t>B01.003.004.004</w:t>
            </w:r>
          </w:p>
        </w:tc>
        <w:tc>
          <w:tcPr>
            <w:tcW w:type="dxa" w:w="7087"/>
            <w:tcBorders>
              <w:top w:color="000000" w:sz="4" w:val="single"/>
              <w:left w:sz="4" w:val="nil"/>
              <w:bottom w:color="000000" w:sz="4" w:val="single"/>
              <w:right w:color="000000" w:sz="4" w:val="single"/>
            </w:tcBorders>
            <w:vAlign w:val="center"/>
          </w:tcPr>
          <w:p w14:paraId="F0040000">
            <w:pPr>
              <w:widowControl w:val="1"/>
              <w:spacing w:line="240" w:lineRule="auto"/>
              <w:ind/>
              <w:rPr>
                <w:color w:val="00000A"/>
              </w:rPr>
            </w:pPr>
            <w:r>
              <w:t xml:space="preserve">Аппликационная анестезия </w:t>
            </w:r>
          </w:p>
        </w:tc>
      </w:tr>
      <w:tr>
        <w:trPr>
          <w:trHeight w:hRule="atLeast" w:val="423"/>
        </w:trPr>
        <w:tc>
          <w:tcPr>
            <w:tcW w:type="dxa" w:w="2142"/>
            <w:tcBorders>
              <w:top w:color="000000" w:sz="4" w:val="single"/>
              <w:left w:color="000000" w:sz="4" w:val="single"/>
              <w:bottom w:color="000000" w:sz="4" w:val="single"/>
              <w:right w:color="000000" w:sz="4" w:val="single"/>
            </w:tcBorders>
            <w:vAlign w:val="center"/>
          </w:tcPr>
          <w:p w14:paraId="F1040000">
            <w:pPr>
              <w:widowControl w:val="1"/>
              <w:spacing w:line="240" w:lineRule="auto"/>
              <w:ind w:firstLine="0"/>
              <w:rPr>
                <w:color w:val="00000A"/>
              </w:rPr>
            </w:pPr>
            <w:r>
              <w:t>B01.003.004.005</w:t>
            </w:r>
          </w:p>
        </w:tc>
        <w:tc>
          <w:tcPr>
            <w:tcW w:type="dxa" w:w="7087"/>
            <w:tcBorders>
              <w:top w:color="000000" w:sz="4" w:val="single"/>
              <w:left w:sz="4" w:val="nil"/>
              <w:bottom w:color="000000" w:sz="4" w:val="single"/>
              <w:right w:color="000000" w:sz="4" w:val="single"/>
            </w:tcBorders>
            <w:vAlign w:val="center"/>
          </w:tcPr>
          <w:p w14:paraId="F2040000">
            <w:pPr>
              <w:widowControl w:val="1"/>
              <w:spacing w:line="240" w:lineRule="auto"/>
              <w:ind/>
              <w:rPr>
                <w:color w:val="00000A"/>
              </w:rPr>
            </w:pPr>
            <w:r>
              <w:t xml:space="preserve">Инфильтрационная анестезия </w:t>
            </w:r>
          </w:p>
        </w:tc>
      </w:tr>
      <w:tr>
        <w:trPr>
          <w:trHeight w:hRule="atLeast" w:val="427"/>
        </w:trPr>
        <w:tc>
          <w:tcPr>
            <w:tcW w:type="dxa" w:w="2142"/>
            <w:tcBorders>
              <w:top w:color="000000" w:sz="4" w:val="single"/>
              <w:left w:color="000000" w:sz="4" w:val="single"/>
              <w:bottom w:color="000000" w:sz="4" w:val="single"/>
              <w:right w:color="000000" w:sz="4" w:val="single"/>
            </w:tcBorders>
            <w:vAlign w:val="center"/>
          </w:tcPr>
          <w:p w14:paraId="F3040000">
            <w:pPr>
              <w:widowControl w:val="1"/>
              <w:spacing w:line="240" w:lineRule="auto"/>
              <w:ind w:firstLine="0"/>
              <w:rPr>
                <w:color w:val="00000A"/>
              </w:rPr>
            </w:pPr>
            <w:r>
              <w:t xml:space="preserve">A16.07.002 </w:t>
            </w:r>
          </w:p>
        </w:tc>
        <w:tc>
          <w:tcPr>
            <w:tcW w:type="dxa" w:w="7087"/>
            <w:tcBorders>
              <w:top w:color="000000" w:sz="4" w:val="single"/>
              <w:left w:sz="4" w:val="nil"/>
              <w:bottom w:color="000000" w:sz="4" w:val="single"/>
              <w:right w:color="000000" w:sz="4" w:val="single"/>
            </w:tcBorders>
            <w:vAlign w:val="center"/>
          </w:tcPr>
          <w:p w14:paraId="F4040000">
            <w:pPr>
              <w:widowControl w:val="1"/>
              <w:spacing w:line="240" w:lineRule="auto"/>
              <w:ind/>
              <w:rPr>
                <w:color w:val="00000A"/>
              </w:rPr>
            </w:pPr>
            <w:r>
              <w:t>Восстановление зуба пломбой</w:t>
            </w:r>
          </w:p>
        </w:tc>
      </w:tr>
      <w:tr>
        <w:trPr>
          <w:trHeight w:hRule="atLeast" w:val="427"/>
        </w:trPr>
        <w:tc>
          <w:tcPr>
            <w:tcW w:type="dxa" w:w="2142"/>
            <w:tcBorders>
              <w:top w:color="000000" w:sz="4" w:val="single"/>
              <w:left w:color="000000" w:sz="4" w:val="single"/>
              <w:bottom w:color="000000" w:sz="4" w:val="single"/>
              <w:right w:color="000000" w:sz="4" w:val="single"/>
            </w:tcBorders>
          </w:tcPr>
          <w:p w14:paraId="F5040000">
            <w:pPr>
              <w:widowControl w:val="1"/>
              <w:spacing w:line="240" w:lineRule="auto"/>
              <w:ind w:firstLine="0"/>
            </w:pPr>
            <w:r>
              <w:t xml:space="preserve">A16.07.002.001 </w:t>
            </w:r>
          </w:p>
        </w:tc>
        <w:tc>
          <w:tcPr>
            <w:tcW w:type="dxa" w:w="7087"/>
            <w:tcBorders>
              <w:top w:color="000000" w:sz="4" w:val="single"/>
              <w:left w:sz="4" w:val="nil"/>
              <w:bottom w:color="000000" w:sz="4" w:val="single"/>
              <w:right w:color="000000" w:sz="4" w:val="single"/>
            </w:tcBorders>
          </w:tcPr>
          <w:p w14:paraId="F6040000">
            <w:pPr>
              <w:widowControl w:val="1"/>
              <w:spacing w:line="240" w:lineRule="auto"/>
              <w:ind/>
            </w:pPr>
            <w:r>
              <w:t xml:space="preserve">Восстановление зуба пломбой I, II, III, V, VI класс по Блэку с использованием стоматологических цементов </w:t>
            </w:r>
          </w:p>
        </w:tc>
      </w:tr>
      <w:tr>
        <w:trPr>
          <w:trHeight w:hRule="atLeast" w:val="427"/>
        </w:trPr>
        <w:tc>
          <w:tcPr>
            <w:tcW w:type="dxa" w:w="2142"/>
            <w:tcBorders>
              <w:top w:color="000000" w:sz="4" w:val="single"/>
              <w:left w:color="000000" w:sz="4" w:val="single"/>
              <w:bottom w:color="000000" w:sz="4" w:val="single"/>
              <w:right w:color="000000" w:sz="4" w:val="single"/>
            </w:tcBorders>
          </w:tcPr>
          <w:p w14:paraId="F7040000">
            <w:pPr>
              <w:widowControl w:val="1"/>
              <w:spacing w:line="240" w:lineRule="auto"/>
              <w:ind w:firstLine="49"/>
            </w:pPr>
            <w:r>
              <w:t xml:space="preserve">A16.07.002.002 </w:t>
            </w:r>
          </w:p>
        </w:tc>
        <w:tc>
          <w:tcPr>
            <w:tcW w:type="dxa" w:w="7087"/>
            <w:tcBorders>
              <w:top w:color="000000" w:sz="4" w:val="single"/>
              <w:left w:sz="4" w:val="nil"/>
              <w:bottom w:color="000000" w:sz="4" w:val="single"/>
              <w:right w:color="000000" w:sz="4" w:val="single"/>
            </w:tcBorders>
          </w:tcPr>
          <w:p w14:paraId="F8040000">
            <w:pPr>
              <w:widowControl w:val="1"/>
              <w:spacing w:line="240" w:lineRule="auto"/>
              <w:ind/>
            </w:pPr>
            <w:r>
              <w:t xml:space="preserve">Восстановление зуба пломбой I, II, III, V, VI класс по Блэку с использованием материалов химического отверждения </w:t>
            </w:r>
          </w:p>
        </w:tc>
      </w:tr>
      <w:tr>
        <w:trPr>
          <w:trHeight w:hRule="atLeast" w:val="427"/>
        </w:trPr>
        <w:tc>
          <w:tcPr>
            <w:tcW w:type="dxa" w:w="2142"/>
            <w:tcBorders>
              <w:top w:color="000000" w:sz="4" w:val="single"/>
              <w:left w:color="000000" w:sz="4" w:val="single"/>
              <w:bottom w:color="000000" w:sz="4" w:val="single"/>
              <w:right w:color="000000" w:sz="4" w:val="single"/>
            </w:tcBorders>
          </w:tcPr>
          <w:p w14:paraId="F9040000">
            <w:pPr>
              <w:widowControl w:val="1"/>
              <w:spacing w:line="240" w:lineRule="auto"/>
              <w:ind w:firstLine="0"/>
            </w:pPr>
            <w:r>
              <w:t xml:space="preserve">A16.07.002.003 </w:t>
            </w:r>
          </w:p>
        </w:tc>
        <w:tc>
          <w:tcPr>
            <w:tcW w:type="dxa" w:w="7087"/>
            <w:tcBorders>
              <w:top w:color="000000" w:sz="4" w:val="single"/>
              <w:left w:sz="4" w:val="nil"/>
              <w:bottom w:color="000000" w:sz="4" w:val="single"/>
              <w:right w:color="000000" w:sz="4" w:val="single"/>
            </w:tcBorders>
          </w:tcPr>
          <w:p w14:paraId="FA040000">
            <w:pPr>
              <w:widowControl w:val="1"/>
              <w:spacing w:line="240" w:lineRule="auto"/>
              <w:ind/>
            </w:pPr>
            <w:r>
              <w:t xml:space="preserve">Восстановление зуба пломбой с нарушением контактного пункта II, III класс по Блэку с использованием стоматологических цементов </w:t>
            </w:r>
          </w:p>
        </w:tc>
      </w:tr>
      <w:tr>
        <w:trPr>
          <w:trHeight w:hRule="atLeast" w:val="427"/>
        </w:trPr>
        <w:tc>
          <w:tcPr>
            <w:tcW w:type="dxa" w:w="2142"/>
            <w:tcBorders>
              <w:top w:color="000000" w:sz="4" w:val="single"/>
              <w:left w:color="000000" w:sz="4" w:val="single"/>
              <w:bottom w:color="000000" w:sz="4" w:val="single"/>
              <w:right w:color="000000" w:sz="4" w:val="single"/>
            </w:tcBorders>
          </w:tcPr>
          <w:p w14:paraId="FB040000">
            <w:pPr>
              <w:widowControl w:val="1"/>
              <w:spacing w:line="240" w:lineRule="auto"/>
              <w:ind w:firstLine="49"/>
            </w:pPr>
            <w:r>
              <w:t xml:space="preserve">A16.07.002.004 </w:t>
            </w:r>
          </w:p>
        </w:tc>
        <w:tc>
          <w:tcPr>
            <w:tcW w:type="dxa" w:w="7087"/>
            <w:tcBorders>
              <w:top w:color="000000" w:sz="4" w:val="single"/>
              <w:left w:sz="4" w:val="nil"/>
              <w:bottom w:color="000000" w:sz="4" w:val="single"/>
              <w:right w:color="000000" w:sz="4" w:val="single"/>
            </w:tcBorders>
          </w:tcPr>
          <w:p w14:paraId="FC040000">
            <w:pPr>
              <w:widowControl w:val="1"/>
              <w:spacing w:line="240" w:lineRule="auto"/>
              <w:ind/>
            </w:pPr>
            <w: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trPr>
          <w:trHeight w:hRule="atLeast" w:val="427"/>
        </w:trPr>
        <w:tc>
          <w:tcPr>
            <w:tcW w:type="dxa" w:w="2142"/>
            <w:tcBorders>
              <w:top w:color="000000" w:sz="4" w:val="single"/>
              <w:left w:color="000000" w:sz="4" w:val="single"/>
              <w:bottom w:color="000000" w:sz="4" w:val="single"/>
              <w:right w:color="000000" w:sz="4" w:val="single"/>
            </w:tcBorders>
          </w:tcPr>
          <w:p w14:paraId="FD040000">
            <w:pPr>
              <w:widowControl w:val="1"/>
              <w:spacing w:line="240" w:lineRule="auto"/>
              <w:ind w:firstLine="49"/>
            </w:pPr>
            <w:r>
              <w:t xml:space="preserve">A16.07.002.005 </w:t>
            </w:r>
          </w:p>
        </w:tc>
        <w:tc>
          <w:tcPr>
            <w:tcW w:type="dxa" w:w="7087"/>
            <w:tcBorders>
              <w:top w:color="000000" w:sz="4" w:val="single"/>
              <w:left w:sz="4" w:val="nil"/>
              <w:bottom w:color="000000" w:sz="4" w:val="single"/>
              <w:right w:color="000000" w:sz="4" w:val="single"/>
            </w:tcBorders>
          </w:tcPr>
          <w:p w14:paraId="FE040000">
            <w:pPr>
              <w:widowControl w:val="1"/>
              <w:spacing w:line="240" w:lineRule="auto"/>
              <w:ind/>
            </w:pPr>
            <w:r>
              <w:t xml:space="preserve">Восстановление зуба пломбой IV класс по Блэку с использованием стеклоиномерных цементов </w:t>
            </w:r>
          </w:p>
        </w:tc>
      </w:tr>
      <w:tr>
        <w:trPr>
          <w:trHeight w:hRule="atLeast" w:val="427"/>
        </w:trPr>
        <w:tc>
          <w:tcPr>
            <w:tcW w:type="dxa" w:w="2142"/>
            <w:tcBorders>
              <w:top w:color="000000" w:sz="4" w:val="single"/>
              <w:left w:color="000000" w:sz="4" w:val="single"/>
              <w:bottom w:color="000000" w:sz="4" w:val="single"/>
              <w:right w:color="000000" w:sz="4" w:val="single"/>
            </w:tcBorders>
          </w:tcPr>
          <w:p w14:paraId="FF040000">
            <w:pPr>
              <w:widowControl w:val="1"/>
              <w:spacing w:line="240" w:lineRule="auto"/>
              <w:ind w:firstLine="49"/>
            </w:pPr>
            <w:r>
              <w:t xml:space="preserve">A16.07.002.006 </w:t>
            </w:r>
          </w:p>
        </w:tc>
        <w:tc>
          <w:tcPr>
            <w:tcW w:type="dxa" w:w="7087"/>
            <w:tcBorders>
              <w:top w:color="000000" w:sz="4" w:val="single"/>
              <w:left w:sz="4" w:val="nil"/>
              <w:bottom w:color="000000" w:sz="4" w:val="single"/>
              <w:right w:color="000000" w:sz="4" w:val="single"/>
            </w:tcBorders>
          </w:tcPr>
          <w:p w14:paraId="00050000">
            <w:pPr>
              <w:widowControl w:val="1"/>
              <w:spacing w:line="240" w:lineRule="auto"/>
              <w:ind/>
            </w:pPr>
            <w:r>
              <w:t xml:space="preserve">Восстановление зуба пломбой IV класс по Блэку с использованием материалов химического отверждения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1050000">
            <w:pPr>
              <w:widowControl w:val="1"/>
              <w:spacing w:line="240" w:lineRule="auto"/>
              <w:ind w:firstLine="0"/>
            </w:pPr>
            <w:r>
              <w:t xml:space="preserve">A16.07.002.007 </w:t>
            </w:r>
          </w:p>
        </w:tc>
        <w:tc>
          <w:tcPr>
            <w:tcW w:type="dxa" w:w="7087"/>
            <w:tcBorders>
              <w:top w:color="000000" w:sz="4" w:val="single"/>
              <w:left w:sz="4" w:val="nil"/>
              <w:bottom w:color="000000" w:sz="4" w:val="single"/>
              <w:right w:color="000000" w:sz="4" w:val="single"/>
            </w:tcBorders>
          </w:tcPr>
          <w:p w14:paraId="02050000">
            <w:pPr>
              <w:widowControl w:val="1"/>
              <w:spacing w:line="240" w:lineRule="auto"/>
              <w:ind/>
            </w:pPr>
            <w:r>
              <w:t xml:space="preserve">Восстановление зуба пломбой из амальгамы I, V класс по Блэку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3050000">
            <w:pPr>
              <w:widowControl w:val="1"/>
              <w:spacing w:line="240" w:lineRule="auto"/>
              <w:ind w:firstLine="49"/>
            </w:pPr>
            <w:r>
              <w:t xml:space="preserve">A16.07.002.008 </w:t>
            </w:r>
          </w:p>
        </w:tc>
        <w:tc>
          <w:tcPr>
            <w:tcW w:type="dxa" w:w="7087"/>
            <w:tcBorders>
              <w:top w:color="000000" w:sz="4" w:val="single"/>
              <w:left w:sz="4" w:val="nil"/>
              <w:bottom w:color="000000" w:sz="4" w:val="single"/>
              <w:right w:color="000000" w:sz="4" w:val="single"/>
            </w:tcBorders>
          </w:tcPr>
          <w:p w14:paraId="04050000">
            <w:pPr>
              <w:widowControl w:val="1"/>
              <w:spacing w:line="240" w:lineRule="auto"/>
              <w:ind/>
            </w:pPr>
            <w:r>
              <w:t xml:space="preserve">Восстановление зуба пломбой из амальгамы II класс по Блэку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5050000">
            <w:pPr>
              <w:widowControl w:val="1"/>
              <w:spacing w:line="240" w:lineRule="auto"/>
              <w:ind w:firstLine="49"/>
            </w:pPr>
            <w:r>
              <w:t xml:space="preserve">A16.07.002.009 </w:t>
            </w:r>
          </w:p>
        </w:tc>
        <w:tc>
          <w:tcPr>
            <w:tcW w:type="dxa" w:w="7087"/>
            <w:tcBorders>
              <w:top w:color="000000" w:sz="4" w:val="single"/>
              <w:left w:sz="4" w:val="nil"/>
              <w:bottom w:color="000000" w:sz="4" w:val="single"/>
              <w:right w:color="000000" w:sz="4" w:val="single"/>
            </w:tcBorders>
          </w:tcPr>
          <w:p w14:paraId="06050000">
            <w:pPr>
              <w:widowControl w:val="1"/>
              <w:spacing w:line="240" w:lineRule="auto"/>
              <w:ind/>
            </w:pPr>
            <w:r>
              <w:t xml:space="preserve">Наложение временной пломбы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7050000">
            <w:pPr>
              <w:widowControl w:val="1"/>
              <w:spacing w:line="240" w:lineRule="auto"/>
              <w:ind w:firstLine="49"/>
            </w:pPr>
            <w:r>
              <w:t xml:space="preserve">A16.07.002.010 </w:t>
            </w:r>
          </w:p>
        </w:tc>
        <w:tc>
          <w:tcPr>
            <w:tcW w:type="dxa" w:w="7087"/>
            <w:tcBorders>
              <w:top w:color="000000" w:sz="4" w:val="single"/>
              <w:left w:sz="4" w:val="nil"/>
              <w:bottom w:color="000000" w:sz="4" w:val="single"/>
              <w:right w:color="000000" w:sz="4" w:val="single"/>
            </w:tcBorders>
          </w:tcPr>
          <w:p w14:paraId="08050000">
            <w:pPr>
              <w:widowControl w:val="1"/>
              <w:spacing w:line="240" w:lineRule="auto"/>
              <w:ind/>
            </w:pPr>
            <w:r>
              <w:t xml:space="preserve">Восстановление зуба пломбой I, V, VI класс по Блэку с использованием материалов из фотополимеров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9050000">
            <w:pPr>
              <w:widowControl w:val="1"/>
              <w:spacing w:line="240" w:lineRule="auto"/>
              <w:ind w:firstLine="0"/>
            </w:pPr>
            <w:r>
              <w:t xml:space="preserve">A16.07.002.011 </w:t>
            </w:r>
          </w:p>
        </w:tc>
        <w:tc>
          <w:tcPr>
            <w:tcW w:type="dxa" w:w="7087"/>
            <w:tcBorders>
              <w:top w:color="000000" w:sz="4" w:val="single"/>
              <w:left w:sz="4" w:val="nil"/>
              <w:bottom w:color="000000" w:sz="4" w:val="single"/>
              <w:right w:color="000000" w:sz="4" w:val="single"/>
            </w:tcBorders>
          </w:tcPr>
          <w:p w14:paraId="0A050000">
            <w:pPr>
              <w:widowControl w:val="1"/>
              <w:spacing w:line="240" w:lineRule="auto"/>
              <w:ind/>
            </w:pPr>
            <w:r>
              <w:t xml:space="preserve">Восстановление зуба пломбой с нарушением контактного пункта II, III класс по Блэку с использованием материалов из фотополимеров </w:t>
            </w:r>
          </w:p>
        </w:tc>
      </w:tr>
      <w:tr>
        <w:trPr>
          <w:trHeight w:hRule="atLeast" w:val="427"/>
        </w:trPr>
        <w:tc>
          <w:tcPr>
            <w:tcW w:type="dxa" w:w="2142"/>
            <w:tcBorders>
              <w:top w:color="000000" w:sz="4" w:val="single"/>
              <w:left w:color="000000" w:sz="4" w:val="single"/>
              <w:bottom w:color="000000" w:sz="4" w:val="single"/>
              <w:right w:color="000000" w:sz="4" w:val="single"/>
            </w:tcBorders>
          </w:tcPr>
          <w:p w14:paraId="0B050000">
            <w:pPr>
              <w:widowControl w:val="1"/>
              <w:spacing w:line="240" w:lineRule="auto"/>
              <w:ind w:firstLine="0"/>
            </w:pPr>
            <w:r>
              <w:t xml:space="preserve">A16.07.002.012 </w:t>
            </w:r>
          </w:p>
        </w:tc>
        <w:tc>
          <w:tcPr>
            <w:tcW w:type="dxa" w:w="7087"/>
            <w:tcBorders>
              <w:top w:color="000000" w:sz="4" w:val="single"/>
              <w:left w:sz="4" w:val="nil"/>
              <w:bottom w:color="000000" w:sz="4" w:val="single"/>
              <w:right w:color="000000" w:sz="4" w:val="single"/>
            </w:tcBorders>
          </w:tcPr>
          <w:p w14:paraId="0C050000">
            <w:pPr>
              <w:widowControl w:val="1"/>
              <w:spacing w:line="240" w:lineRule="auto"/>
              <w:ind/>
            </w:pPr>
            <w:r>
              <w:t xml:space="preserve">Восстановление зуба пломбой IV класс по Блэку с использованием материалов из фотополимеров </w:t>
            </w:r>
          </w:p>
        </w:tc>
      </w:tr>
      <w:tr>
        <w:trPr>
          <w:trHeight w:hRule="atLeast" w:val="391"/>
        </w:trPr>
        <w:tc>
          <w:tcPr>
            <w:tcW w:type="dxa" w:w="2142"/>
            <w:tcBorders>
              <w:top w:sz="4" w:val="nil"/>
              <w:left w:color="000000" w:sz="4" w:val="single"/>
              <w:bottom w:color="000000" w:sz="4" w:val="single"/>
              <w:right w:color="000000" w:sz="4" w:val="single"/>
            </w:tcBorders>
            <w:vAlign w:val="center"/>
          </w:tcPr>
          <w:p w14:paraId="0D050000">
            <w:pPr>
              <w:widowControl w:val="1"/>
              <w:spacing w:line="240" w:lineRule="auto"/>
              <w:ind w:firstLine="0"/>
              <w:rPr>
                <w:color w:val="00000A"/>
              </w:rPr>
            </w:pPr>
            <w:r>
              <w:t xml:space="preserve">A16.07.003 </w:t>
            </w:r>
          </w:p>
        </w:tc>
        <w:tc>
          <w:tcPr>
            <w:tcW w:type="dxa" w:w="7087"/>
            <w:tcBorders>
              <w:top w:sz="4" w:val="nil"/>
              <w:left w:sz="4" w:val="nil"/>
              <w:bottom w:color="000000" w:sz="4" w:val="single"/>
              <w:right w:color="000000" w:sz="4" w:val="single"/>
            </w:tcBorders>
            <w:vAlign w:val="center"/>
          </w:tcPr>
          <w:p w14:paraId="0E050000">
            <w:pPr>
              <w:widowControl w:val="1"/>
              <w:spacing w:line="240" w:lineRule="auto"/>
              <w:ind/>
              <w:rPr>
                <w:color w:val="00000A"/>
              </w:rPr>
            </w:pPr>
            <w:r>
              <w:t xml:space="preserve">Восстановление зуба вкладками, виниром, полукоронкой </w:t>
            </w:r>
          </w:p>
        </w:tc>
      </w:tr>
      <w:tr>
        <w:trPr>
          <w:trHeight w:hRule="atLeast" w:val="425"/>
        </w:trPr>
        <w:tc>
          <w:tcPr>
            <w:tcW w:type="dxa" w:w="2142"/>
            <w:tcBorders>
              <w:top w:sz="4" w:val="nil"/>
              <w:left w:color="000000" w:sz="4" w:val="single"/>
              <w:bottom w:color="000000" w:sz="4" w:val="single"/>
              <w:right w:color="000000" w:sz="4" w:val="single"/>
            </w:tcBorders>
            <w:vAlign w:val="center"/>
          </w:tcPr>
          <w:p w14:paraId="0F050000">
            <w:pPr>
              <w:widowControl w:val="1"/>
              <w:spacing w:line="240" w:lineRule="auto"/>
              <w:ind w:firstLine="0"/>
              <w:rPr>
                <w:color w:val="00000A"/>
              </w:rPr>
            </w:pPr>
            <w:r>
              <w:t xml:space="preserve">A16.07.004 </w:t>
            </w:r>
          </w:p>
        </w:tc>
        <w:tc>
          <w:tcPr>
            <w:tcW w:type="dxa" w:w="7087"/>
            <w:tcBorders>
              <w:top w:sz="4" w:val="nil"/>
              <w:left w:sz="4" w:val="nil"/>
              <w:bottom w:color="000000" w:sz="4" w:val="single"/>
              <w:right w:color="000000" w:sz="4" w:val="single"/>
            </w:tcBorders>
            <w:vAlign w:val="center"/>
          </w:tcPr>
          <w:p w14:paraId="10050000">
            <w:pPr>
              <w:widowControl w:val="1"/>
              <w:spacing w:line="240" w:lineRule="auto"/>
              <w:ind/>
              <w:rPr>
                <w:color w:val="00000A"/>
              </w:rPr>
            </w:pPr>
            <w:r>
              <w:t xml:space="preserve">Восстановление зуба коронкой </w:t>
            </w:r>
          </w:p>
        </w:tc>
      </w:tr>
      <w:tr>
        <w:trPr>
          <w:trHeight w:hRule="atLeast" w:val="425"/>
        </w:trPr>
        <w:tc>
          <w:tcPr>
            <w:tcW w:type="dxa" w:w="2142"/>
            <w:tcBorders>
              <w:top w:sz="4" w:val="nil"/>
              <w:left w:color="000000" w:sz="4" w:val="single"/>
              <w:bottom w:color="000000" w:sz="4" w:val="single"/>
              <w:right w:color="000000" w:sz="4" w:val="single"/>
            </w:tcBorders>
            <w:vAlign w:val="center"/>
          </w:tcPr>
          <w:p w14:paraId="11050000">
            <w:pPr>
              <w:widowControl w:val="1"/>
              <w:spacing w:line="240" w:lineRule="auto"/>
              <w:ind w:firstLine="0"/>
              <w:rPr>
                <w:color w:val="00000A"/>
              </w:rPr>
            </w:pPr>
            <w:r>
              <w:t xml:space="preserve">A16.07.051 </w:t>
            </w:r>
          </w:p>
        </w:tc>
        <w:tc>
          <w:tcPr>
            <w:tcW w:type="dxa" w:w="7087"/>
            <w:tcBorders>
              <w:top w:sz="4" w:val="nil"/>
              <w:left w:sz="4" w:val="nil"/>
              <w:bottom w:color="000000" w:sz="4" w:val="single"/>
              <w:right w:color="000000" w:sz="4" w:val="single"/>
            </w:tcBorders>
            <w:vAlign w:val="center"/>
          </w:tcPr>
          <w:p w14:paraId="12050000">
            <w:pPr>
              <w:widowControl w:val="1"/>
              <w:spacing w:line="240" w:lineRule="auto"/>
              <w:ind/>
              <w:rPr>
                <w:color w:val="00000A"/>
              </w:rPr>
            </w:pPr>
            <w:r>
              <w:t xml:space="preserve">Профессиональная гигиена полости рта и зубов </w:t>
            </w:r>
          </w:p>
        </w:tc>
      </w:tr>
      <w:tr>
        <w:trPr>
          <w:trHeight w:hRule="atLeast" w:val="425"/>
        </w:trPr>
        <w:tc>
          <w:tcPr>
            <w:tcW w:type="dxa" w:w="2142"/>
            <w:tcBorders>
              <w:top w:sz="4" w:val="nil"/>
              <w:left w:color="000000" w:sz="4" w:val="single"/>
              <w:bottom w:color="000000" w:sz="4" w:val="single"/>
              <w:right w:color="000000" w:sz="4" w:val="single"/>
            </w:tcBorders>
            <w:vAlign w:val="center"/>
          </w:tcPr>
          <w:p w14:paraId="13050000">
            <w:pPr>
              <w:widowControl w:val="1"/>
              <w:spacing w:line="240" w:lineRule="auto"/>
              <w:ind w:firstLine="0"/>
              <w:rPr>
                <w:color w:val="00000A"/>
              </w:rPr>
            </w:pPr>
            <w:r>
              <w:t>A16.07.057</w:t>
            </w:r>
          </w:p>
        </w:tc>
        <w:tc>
          <w:tcPr>
            <w:tcW w:type="dxa" w:w="7087"/>
            <w:tcBorders>
              <w:top w:sz="4" w:val="nil"/>
              <w:left w:sz="4" w:val="nil"/>
              <w:bottom w:color="000000" w:sz="4" w:val="single"/>
              <w:right w:color="000000" w:sz="4" w:val="single"/>
            </w:tcBorders>
            <w:vAlign w:val="center"/>
          </w:tcPr>
          <w:p w14:paraId="14050000">
            <w:pPr>
              <w:widowControl w:val="1"/>
              <w:spacing w:line="240" w:lineRule="auto"/>
              <w:ind/>
              <w:rPr>
                <w:color w:val="00000A"/>
              </w:rPr>
            </w:pPr>
            <w:r>
              <w:t>Запечатывание фиссуры зуба герметиком</w:t>
            </w:r>
          </w:p>
        </w:tc>
      </w:tr>
      <w:tr>
        <w:trPr>
          <w:trHeight w:hRule="atLeast" w:val="425"/>
        </w:trPr>
        <w:tc>
          <w:tcPr>
            <w:tcW w:type="dxa" w:w="2142"/>
            <w:tcBorders>
              <w:top w:sz="4" w:val="nil"/>
              <w:left w:color="000000" w:sz="4" w:val="single"/>
              <w:bottom w:color="000000" w:sz="4" w:val="single"/>
              <w:right w:color="000000" w:sz="4" w:val="single"/>
            </w:tcBorders>
            <w:vAlign w:val="center"/>
          </w:tcPr>
          <w:p w14:paraId="15050000">
            <w:pPr>
              <w:widowControl w:val="1"/>
              <w:spacing w:line="240" w:lineRule="auto"/>
              <w:ind w:firstLine="0"/>
              <w:rPr>
                <w:color w:val="00000A"/>
              </w:rPr>
            </w:pPr>
            <w:r>
              <w:t xml:space="preserve">A16.07.082 </w:t>
            </w:r>
          </w:p>
        </w:tc>
        <w:tc>
          <w:tcPr>
            <w:tcW w:type="dxa" w:w="7087"/>
            <w:tcBorders>
              <w:top w:sz="4" w:val="nil"/>
              <w:left w:sz="4" w:val="nil"/>
              <w:bottom w:color="000000" w:sz="4" w:val="single"/>
              <w:right w:color="000000" w:sz="4" w:val="single"/>
            </w:tcBorders>
            <w:vAlign w:val="center"/>
          </w:tcPr>
          <w:p w14:paraId="16050000">
            <w:pPr>
              <w:widowControl w:val="1"/>
              <w:spacing w:line="240" w:lineRule="auto"/>
              <w:ind/>
              <w:rPr>
                <w:color w:val="00000A"/>
              </w:rPr>
            </w:pPr>
            <w:r>
              <w:t xml:space="preserve">Сошлифовывание твердых тканей зуба </w:t>
            </w:r>
          </w:p>
        </w:tc>
      </w:tr>
    </w:tbl>
    <w:p w14:paraId="17050000">
      <w:pPr>
        <w:widowControl w:val="1"/>
        <w:spacing w:line="240" w:lineRule="auto"/>
        <w:ind/>
        <w:rPr>
          <w:b w:val="1"/>
          <w:color w:val="00000A"/>
        </w:rPr>
      </w:pPr>
    </w:p>
    <w:p w14:paraId="18050000">
      <w:r>
        <w:rPr>
          <w:b w:val="1"/>
        </w:rPr>
        <w:t>Таблица 7. Иное лечение</w:t>
      </w:r>
    </w:p>
    <w:tbl>
      <w:tblPr>
        <w:tblStyle w:val="Style_20"/>
        <w:tblW w:type="auto" w:w="0"/>
        <w:tblInd w:type="dxa" w:w="93"/>
        <w:tblLayout w:type="fixed"/>
      </w:tblPr>
      <w:tblGrid>
        <w:gridCol w:w="3387"/>
        <w:gridCol w:w="5842"/>
      </w:tblGrid>
      <w:tr>
        <w:trPr>
          <w:trHeight w:hRule="atLeast" w:val="600"/>
        </w:trPr>
        <w:tc>
          <w:tcPr>
            <w:tcW w:type="dxa" w:w="3387"/>
            <w:tcBorders>
              <w:top w:color="000000" w:sz="4" w:val="single"/>
              <w:left w:color="000000" w:sz="4" w:val="single"/>
              <w:bottom w:color="000000" w:sz="4" w:val="single"/>
              <w:right w:color="000000" w:sz="4" w:val="single"/>
            </w:tcBorders>
            <w:vAlign w:val="center"/>
          </w:tcPr>
          <w:p w14:paraId="19050000">
            <w:pPr>
              <w:widowControl w:val="1"/>
              <w:spacing w:line="240" w:lineRule="auto"/>
              <w:ind/>
              <w:jc w:val="center"/>
              <w:rPr>
                <w:color w:val="00000A"/>
              </w:rPr>
            </w:pPr>
            <w:r>
              <w:t>Кодмедицинскойуслуги</w:t>
            </w:r>
          </w:p>
        </w:tc>
        <w:tc>
          <w:tcPr>
            <w:tcW w:type="dxa" w:w="5842"/>
            <w:tcBorders>
              <w:top w:color="000000" w:sz="4" w:val="single"/>
              <w:left w:sz="4" w:val="nil"/>
              <w:bottom w:color="000000" w:sz="4" w:val="single"/>
              <w:right w:color="000000" w:sz="4" w:val="single"/>
            </w:tcBorders>
            <w:vAlign w:val="center"/>
          </w:tcPr>
          <w:p w14:paraId="1A050000">
            <w:pPr>
              <w:widowControl w:val="1"/>
              <w:spacing w:line="240" w:lineRule="auto"/>
              <w:ind/>
              <w:jc w:val="center"/>
              <w:rPr>
                <w:color w:val="00000A"/>
              </w:rPr>
            </w:pPr>
            <w:r>
              <w:t>Наименование медицинской услуги</w:t>
            </w:r>
          </w:p>
        </w:tc>
      </w:tr>
      <w:tr>
        <w:trPr>
          <w:trHeight w:hRule="atLeast" w:val="449"/>
        </w:trPr>
        <w:tc>
          <w:tcPr>
            <w:tcW w:type="dxa" w:w="3387"/>
            <w:tcBorders>
              <w:top w:color="000000" w:sz="4" w:val="single"/>
              <w:left w:color="000000" w:sz="4" w:val="single"/>
              <w:bottom w:color="000000" w:sz="4" w:val="single"/>
              <w:right w:color="000000" w:sz="4" w:val="single"/>
            </w:tcBorders>
            <w:vAlign w:val="center"/>
          </w:tcPr>
          <w:p w14:paraId="1B050000">
            <w:pPr>
              <w:widowControl w:val="1"/>
              <w:spacing w:line="240" w:lineRule="auto"/>
              <w:ind/>
              <w:rPr>
                <w:color w:val="00000A"/>
              </w:rPr>
            </w:pPr>
            <w:r>
              <w:t>А13.30.007</w:t>
            </w:r>
          </w:p>
        </w:tc>
        <w:tc>
          <w:tcPr>
            <w:tcW w:type="dxa" w:w="5842"/>
            <w:tcBorders>
              <w:top w:color="000000" w:sz="4" w:val="single"/>
              <w:left w:sz="4" w:val="nil"/>
              <w:bottom w:color="000000" w:sz="4" w:val="single"/>
              <w:right w:color="000000" w:sz="4" w:val="single"/>
            </w:tcBorders>
            <w:vAlign w:val="center"/>
          </w:tcPr>
          <w:p w14:paraId="1C050000">
            <w:pPr>
              <w:widowControl w:val="1"/>
              <w:spacing w:line="240" w:lineRule="auto"/>
              <w:ind/>
              <w:rPr>
                <w:color w:val="00000A"/>
              </w:rPr>
            </w:pPr>
            <w:r>
              <w:t>Обучение гигиене полости рта</w:t>
            </w:r>
          </w:p>
        </w:tc>
      </w:tr>
      <w:tr>
        <w:trPr>
          <w:trHeight w:hRule="atLeast" w:val="600"/>
        </w:trPr>
        <w:tc>
          <w:tcPr>
            <w:tcW w:type="dxa" w:w="3387"/>
            <w:tcBorders>
              <w:top w:sz="4" w:val="nil"/>
              <w:left w:color="000000" w:sz="4" w:val="single"/>
              <w:bottom w:color="000000" w:sz="4" w:val="single"/>
              <w:right w:color="000000" w:sz="4" w:val="single"/>
            </w:tcBorders>
            <w:vAlign w:val="center"/>
          </w:tcPr>
          <w:p w14:paraId="1D050000">
            <w:pPr>
              <w:widowControl w:val="1"/>
              <w:spacing w:line="240" w:lineRule="auto"/>
              <w:ind/>
              <w:rPr>
                <w:color w:val="00000A"/>
              </w:rPr>
            </w:pPr>
            <w:r>
              <w:t>A25.07.001</w:t>
            </w:r>
          </w:p>
        </w:tc>
        <w:tc>
          <w:tcPr>
            <w:tcW w:type="dxa" w:w="5842"/>
            <w:tcBorders>
              <w:top w:sz="4" w:val="nil"/>
              <w:left w:sz="4" w:val="nil"/>
              <w:bottom w:color="000000" w:sz="4" w:val="single"/>
              <w:right w:color="000000" w:sz="4" w:val="single"/>
            </w:tcBorders>
            <w:vAlign w:val="center"/>
          </w:tcPr>
          <w:p w14:paraId="1E050000">
            <w:pPr>
              <w:widowControl w:val="1"/>
              <w:spacing w:line="240" w:lineRule="auto"/>
              <w:ind/>
              <w:rPr>
                <w:color w:val="00000A"/>
              </w:rPr>
            </w:pPr>
            <w:r>
              <w:t>Назначение лекарственных препаратов при заболеваниях полости рта и зубов</w:t>
            </w:r>
          </w:p>
        </w:tc>
      </w:tr>
      <w:tr>
        <w:trPr>
          <w:trHeight w:hRule="atLeast" w:val="600"/>
        </w:trPr>
        <w:tc>
          <w:tcPr>
            <w:tcW w:type="dxa" w:w="3387"/>
            <w:tcBorders>
              <w:top w:sz="4" w:val="nil"/>
              <w:left w:color="000000" w:sz="4" w:val="single"/>
              <w:bottom w:color="000000" w:sz="4" w:val="single"/>
              <w:right w:color="000000" w:sz="4" w:val="single"/>
            </w:tcBorders>
            <w:vAlign w:val="center"/>
          </w:tcPr>
          <w:p w14:paraId="1F050000">
            <w:pPr>
              <w:widowControl w:val="1"/>
              <w:spacing w:line="240" w:lineRule="auto"/>
              <w:ind/>
              <w:rPr>
                <w:color w:val="00000A"/>
              </w:rPr>
            </w:pPr>
            <w:r>
              <w:t>A25.07.002</w:t>
            </w:r>
          </w:p>
        </w:tc>
        <w:tc>
          <w:tcPr>
            <w:tcW w:type="dxa" w:w="5842"/>
            <w:tcBorders>
              <w:top w:sz="4" w:val="nil"/>
              <w:left w:sz="4" w:val="nil"/>
              <w:bottom w:color="000000" w:sz="4" w:val="single"/>
              <w:right w:color="000000" w:sz="4" w:val="single"/>
            </w:tcBorders>
            <w:vAlign w:val="center"/>
          </w:tcPr>
          <w:p w14:paraId="20050000">
            <w:pPr>
              <w:widowControl w:val="1"/>
              <w:spacing w:line="240" w:lineRule="auto"/>
              <w:ind/>
              <w:rPr>
                <w:color w:val="00000A"/>
              </w:rPr>
            </w:pPr>
            <w:r>
              <w:t>Назначение диетической терапии при заболеваниях полости рта и зубов</w:t>
            </w:r>
          </w:p>
        </w:tc>
      </w:tr>
    </w:tbl>
    <w:p w14:paraId="21050000">
      <w:pPr>
        <w:pStyle w:val="Style_8"/>
      </w:pPr>
    </w:p>
    <w:p w14:paraId="22050000">
      <w:pPr>
        <w:pStyle w:val="Style_8"/>
      </w:pPr>
    </w:p>
    <w:p w14:paraId="23050000">
      <w:pPr>
        <w:pStyle w:val="Style_8"/>
      </w:pPr>
    </w:p>
    <w:p w14:paraId="24050000">
      <w:bookmarkStart w:id="74" w:name="__RefHeading___45"/>
      <w:bookmarkEnd w:id="74"/>
      <w:pPr>
        <w:pStyle w:val="Style_8"/>
      </w:pPr>
      <w:r>
        <w:t>Приложение Г</w:t>
      </w:r>
      <w:r>
        <w:t>2</w:t>
      </w:r>
    </w:p>
    <w:p w14:paraId="25050000">
      <w:pPr>
        <w:pStyle w:val="Style_17"/>
      </w:pPr>
      <w:r>
        <w:rPr>
          <w:sz w:val="28"/>
        </w:rPr>
        <w:t>Профиль влияния стоматологического здоровья (OHIP-49-R</w:t>
      </w:r>
    </w:p>
    <w:p w14:paraId="26050000">
      <w:pPr>
        <w:pStyle w:val="Style_17"/>
      </w:pPr>
      <w:r>
        <w:rPr>
          <w:b w:val="1"/>
        </w:rPr>
        <w:t xml:space="preserve"> </w:t>
      </w:r>
      <w:r>
        <w:rPr>
          <w:b w:val="1"/>
        </w:rPr>
        <w:t>Название на русском языке:</w:t>
      </w:r>
      <w:r>
        <w:t xml:space="preserve"> </w:t>
      </w:r>
      <w:r>
        <w:t>Профиль влияния стоматологического здоровья (</w:t>
      </w:r>
      <w:r>
        <w:t>OHIP</w:t>
      </w:r>
      <w:r>
        <w:t>-49-</w:t>
      </w:r>
      <w:r>
        <w:t>RU</w:t>
      </w:r>
      <w:r>
        <w:t>)</w:t>
      </w:r>
    </w:p>
    <w:p w14:paraId="27050000">
      <w:pPr>
        <w:pStyle w:val="Style_17"/>
      </w:pPr>
      <w:r>
        <w:rPr>
          <w:b w:val="1"/>
        </w:rPr>
        <w:t xml:space="preserve">Оригинальное название (если есть): </w:t>
      </w:r>
      <w:r>
        <w:t>Oral</w:t>
      </w:r>
      <w:r>
        <w:t xml:space="preserve"> </w:t>
      </w:r>
      <w:r>
        <w:t>Health</w:t>
      </w:r>
      <w:r>
        <w:t xml:space="preserve"> </w:t>
      </w:r>
      <w:r>
        <w:t>Impact</w:t>
      </w:r>
      <w:r>
        <w:t xml:space="preserve"> </w:t>
      </w:r>
      <w:r>
        <w:t>Profile</w:t>
      </w:r>
      <w:r>
        <w:t xml:space="preserve"> (</w:t>
      </w:r>
      <w:r>
        <w:t>OHIP</w:t>
      </w:r>
      <w:r>
        <w:t>-49)</w:t>
      </w:r>
    </w:p>
    <w:p w14:paraId="28050000">
      <w:pPr>
        <w:pStyle w:val="Style_17"/>
      </w:pPr>
      <w:r>
        <w:rPr>
          <w:b w:val="1"/>
        </w:rPr>
        <w:t>Источник (официальный сайт разработчиков, публикация с валидацией):</w:t>
      </w:r>
      <w:r>
        <w:t xml:space="preserve"> </w:t>
      </w:r>
      <w:r>
        <w:t xml:space="preserve">Гилева О.С., Халилаева Е.В., Либик Т.В., Подгорный Р.В., Халявина И.В., Гилева Е.С. </w:t>
      </w:r>
      <w:r>
        <w:t>М</w:t>
      </w:r>
      <w:r>
        <w:t>ногоступенчатая валидация международного опросника качества жизни «Профиль Влияния Стоматологического Здоровья» OHIP-49-RU</w:t>
      </w:r>
      <w:r>
        <w:t xml:space="preserve">. </w:t>
      </w:r>
      <w:r>
        <w:t>Уральский медицинский журнал. 2009. № 8(62). С. 104-109.</w:t>
      </w:r>
    </w:p>
    <w:p w14:paraId="29050000">
      <w:pPr>
        <w:pStyle w:val="Style_17"/>
      </w:pPr>
      <w:r>
        <w:rPr>
          <w:b w:val="1"/>
        </w:rPr>
        <w:t>Тип (подчеркнуть):</w:t>
      </w:r>
      <w:r>
        <w:t xml:space="preserve"> шкала</w:t>
      </w:r>
      <w:r>
        <w:t>,</w:t>
      </w:r>
      <w:r>
        <w:t xml:space="preserve"> </w:t>
      </w:r>
      <w:r>
        <w:rPr>
          <w:u w:val="single"/>
        </w:rPr>
        <w:t>индекс</w:t>
      </w:r>
      <w:r>
        <w:t>,</w:t>
      </w:r>
      <w:r>
        <w:t xml:space="preserve"> </w:t>
      </w:r>
      <w:r>
        <w:rPr>
          <w:u w:val="single"/>
        </w:rPr>
        <w:t>опросник</w:t>
      </w:r>
      <w:r>
        <w:t>,</w:t>
      </w:r>
      <w:r>
        <w:t xml:space="preserve"> другое (уточнить): ____________</w:t>
      </w:r>
    </w:p>
    <w:p w14:paraId="2A050000">
      <w:pPr>
        <w:pStyle w:val="Style_17"/>
      </w:pPr>
      <w:r>
        <w:rPr>
          <w:b w:val="1"/>
        </w:rPr>
        <w:t>Назначение:</w:t>
      </w:r>
      <w:r>
        <w:t xml:space="preserve"> субъективная оценка пациентом влияния стоматологического здоровья на качество жизни, анализ индекса в динамике – оценка эффективности лечебных мероприятий</w:t>
      </w:r>
    </w:p>
    <w:p w14:paraId="2B050000">
      <w:pPr>
        <w:pStyle w:val="Style_17"/>
        <w:rPr>
          <w:b w:val="1"/>
        </w:rPr>
      </w:pPr>
      <w:r>
        <w:rPr>
          <w:b w:val="1"/>
        </w:rPr>
        <w:t>Содержание (шаблон):</w:t>
      </w:r>
    </w:p>
    <w:p w14:paraId="2C050000">
      <w:pPr>
        <w:rPr>
          <w:i w:val="1"/>
        </w:rPr>
      </w:pPr>
      <w:r>
        <w:rPr>
          <w:i w:val="1"/>
        </w:rPr>
        <w:t>Уважаемый пациент, мы просим Вас заполнить эту анкету. Это поможет нам в диагностике, дальнейшей работе и сделает лечебный процесс более эффективным. На каждый из вопросов выберите, пожалуйста, только один из вариантов ответа.</w:t>
      </w:r>
    </w:p>
    <w:p w14:paraId="2D050000">
      <w:pPr>
        <w:rPr>
          <w:i w:val="1"/>
        </w:rPr>
      </w:pPr>
      <w:r>
        <w:rPr>
          <w:i w:val="1"/>
        </w:rPr>
        <w:t>Ф.И.О.: _____________________________________________________________</w:t>
      </w:r>
    </w:p>
    <w:p w14:paraId="2E050000">
      <w:pPr>
        <w:rPr>
          <w:i w:val="1"/>
        </w:rPr>
      </w:pPr>
      <w:r>
        <w:rPr>
          <w:i w:val="1"/>
        </w:rPr>
        <w:t>Дата: _______________________________________________________________</w:t>
      </w:r>
    </w:p>
    <w:p w14:paraId="2F050000">
      <w:pPr>
        <w:rPr>
          <w:i w:val="1"/>
        </w:rPr>
      </w:pPr>
      <w:r>
        <w:rPr>
          <w:i w:val="1"/>
        </w:rPr>
        <w:t>До / После лечения (ненужное зачеркнуть)</w:t>
      </w:r>
    </w:p>
    <w:tbl>
      <w:tblPr>
        <w:tblStyle w:val="Style_20"/>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99"/>
        <w:gridCol w:w="6829"/>
        <w:gridCol w:w="1727"/>
      </w:tblGrid>
      <w:tr>
        <w:tc>
          <w:tcPr>
            <w:tcW w:type="dxa" w:w="799"/>
            <w:tcBorders>
              <w:top w:sz="4" w:themeColor="accent5" w:val="double"/>
              <w:left w:sz="4" w:themeColor="accent5" w:val="double"/>
              <w:bottom w:sz="4" w:themeColor="accent5" w:val="double"/>
              <w:right w:color="000000" w:sz="6" w:val="single"/>
            </w:tcBorders>
            <w:shd w:fill="auto" w:val="clear"/>
            <w:vAlign w:val="center"/>
          </w:tcPr>
          <w:p w14:paraId="30050000">
            <w:pPr>
              <w:widowControl w:val="1"/>
              <w:spacing w:line="240" w:lineRule="auto"/>
              <w:ind w:firstLine="0"/>
              <w:jc w:val="center"/>
              <w:rPr>
                <w:b w:val="1"/>
                <w:sz w:val="22"/>
              </w:rPr>
            </w:pPr>
            <w:r>
              <w:rPr>
                <w:b w:val="1"/>
                <w:sz w:val="22"/>
              </w:rPr>
              <w:t>№</w:t>
            </w:r>
          </w:p>
        </w:tc>
        <w:tc>
          <w:tcPr>
            <w:tcW w:type="dxa" w:w="6829"/>
            <w:tcBorders>
              <w:top w:sz="4" w:themeColor="accent5" w:val="double"/>
              <w:left w:color="000000" w:sz="6" w:val="single"/>
              <w:bottom w:sz="4" w:themeColor="accent5" w:val="double"/>
              <w:right w:color="000000" w:sz="6" w:val="single"/>
            </w:tcBorders>
            <w:shd w:fill="auto" w:val="clear"/>
            <w:vAlign w:val="center"/>
          </w:tcPr>
          <w:p w14:paraId="31050000">
            <w:pPr>
              <w:widowControl w:val="1"/>
              <w:spacing w:line="240" w:lineRule="auto"/>
              <w:ind/>
              <w:jc w:val="center"/>
              <w:rPr>
                <w:b w:val="1"/>
                <w:sz w:val="22"/>
              </w:rPr>
            </w:pPr>
            <w:r>
              <w:rPr>
                <w:b w:val="1"/>
                <w:sz w:val="22"/>
              </w:rPr>
              <w:t>Вопрос</w:t>
            </w:r>
          </w:p>
        </w:tc>
        <w:tc>
          <w:tcPr>
            <w:tcW w:type="dxa" w:w="1727"/>
            <w:tcBorders>
              <w:top w:sz="4" w:themeColor="accent5" w:val="double"/>
              <w:left w:color="000000" w:sz="6" w:val="single"/>
              <w:bottom w:sz="4" w:themeColor="accent5" w:val="double"/>
              <w:right w:sz="4" w:themeColor="accent5" w:val="double"/>
            </w:tcBorders>
            <w:shd w:fill="auto" w:val="clear"/>
            <w:vAlign w:val="center"/>
          </w:tcPr>
          <w:p w14:paraId="32050000">
            <w:pPr>
              <w:widowControl w:val="1"/>
              <w:spacing w:line="240" w:lineRule="auto"/>
              <w:ind w:firstLine="0"/>
              <w:jc w:val="center"/>
              <w:rPr>
                <w:b w:val="1"/>
                <w:sz w:val="22"/>
              </w:rPr>
            </w:pPr>
            <w:r>
              <w:rPr>
                <w:b w:val="1"/>
                <w:sz w:val="22"/>
              </w:rPr>
              <w:t>Варианты ответов</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33050000">
            <w:pPr>
              <w:widowControl w:val="1"/>
              <w:spacing w:line="240" w:lineRule="auto"/>
              <w:ind w:firstLine="0"/>
              <w:jc w:val="center"/>
              <w:rPr>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34050000">
            <w:pPr>
              <w:widowControl w:val="1"/>
              <w:spacing w:line="240" w:lineRule="auto"/>
              <w:ind/>
              <w:jc w:val="center"/>
              <w:rPr>
                <w:b w:val="1"/>
                <w:color w:themeColor="accent5" w:val="4472C4"/>
                <w:sz w:val="22"/>
              </w:rPr>
            </w:pPr>
            <w:r>
              <w:rPr>
                <w:b w:val="1"/>
                <w:color w:themeColor="accent5" w:val="4472C4"/>
                <w:sz w:val="22"/>
              </w:rPr>
              <w:t>Ограничение функции</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35050000">
            <w:pPr>
              <w:widowControl w:val="1"/>
              <w:spacing w:line="240" w:lineRule="auto"/>
              <w:ind w:firstLine="0"/>
              <w:jc w:val="center"/>
              <w:rPr>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36050000">
            <w:pPr>
              <w:widowControl w:val="1"/>
              <w:spacing w:line="240" w:lineRule="auto"/>
              <w:ind w:firstLine="0"/>
              <w:jc w:val="center"/>
              <w:rPr>
                <w:sz w:val="22"/>
              </w:rPr>
            </w:pPr>
            <w:r>
              <w:rPr>
                <w:sz w:val="22"/>
              </w:rPr>
              <w:t>1</w:t>
            </w:r>
          </w:p>
        </w:tc>
        <w:tc>
          <w:tcPr>
            <w:tcW w:type="dxa" w:w="6829"/>
            <w:tcBorders>
              <w:top w:sz="4" w:themeColor="accent5" w:val="double"/>
              <w:left w:color="000000" w:sz="6" w:val="single"/>
              <w:bottom w:color="000000" w:sz="6" w:val="single"/>
              <w:right w:color="000000" w:sz="6" w:val="single"/>
            </w:tcBorders>
            <w:shd w:fill="auto" w:val="clear"/>
            <w:vAlign w:val="center"/>
          </w:tcPr>
          <w:p w14:paraId="37050000">
            <w:pPr>
              <w:widowControl w:val="1"/>
              <w:spacing w:line="240" w:lineRule="auto"/>
              <w:ind/>
              <w:jc w:val="center"/>
              <w:rPr>
                <w:sz w:val="22"/>
              </w:rPr>
            </w:pPr>
            <w:r>
              <w:rPr>
                <w:sz w:val="22"/>
              </w:rPr>
              <w:t>Как часто Вы испытываете трудности при приеме пищи в связи с проблемами, связанными с зубами, слизистой полости рта или протезами (далее с полостью рта)?</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38050000">
            <w:pPr>
              <w:widowControl w:val="1"/>
              <w:spacing w:line="240" w:lineRule="auto"/>
              <w:ind w:firstLine="0"/>
              <w:jc w:val="center"/>
              <w:rPr>
                <w:sz w:val="22"/>
              </w:rPr>
            </w:pPr>
            <w:r>
              <w:rPr>
                <w:sz w:val="22"/>
              </w:rPr>
              <w:t>Никогда</w:t>
            </w:r>
          </w:p>
          <w:p w14:paraId="39050000">
            <w:pPr>
              <w:widowControl w:val="1"/>
              <w:spacing w:line="240" w:lineRule="auto"/>
              <w:ind w:firstLine="0"/>
              <w:jc w:val="center"/>
              <w:rPr>
                <w:sz w:val="22"/>
              </w:rPr>
            </w:pPr>
            <w:r>
              <w:rPr>
                <w:sz w:val="22"/>
              </w:rPr>
              <w:t>Крайне редко</w:t>
            </w:r>
          </w:p>
          <w:p w14:paraId="3A050000">
            <w:pPr>
              <w:widowControl w:val="1"/>
              <w:spacing w:line="240" w:lineRule="auto"/>
              <w:ind w:firstLine="0"/>
              <w:jc w:val="center"/>
              <w:rPr>
                <w:sz w:val="22"/>
              </w:rPr>
            </w:pPr>
            <w:r>
              <w:rPr>
                <w:sz w:val="22"/>
              </w:rPr>
              <w:t>Часто</w:t>
            </w:r>
          </w:p>
          <w:p w14:paraId="3B050000">
            <w:pPr>
              <w:widowControl w:val="1"/>
              <w:spacing w:line="240" w:lineRule="auto"/>
              <w:ind w:firstLine="0"/>
              <w:jc w:val="center"/>
              <w:rPr>
                <w:sz w:val="22"/>
              </w:rPr>
            </w:pPr>
            <w:r>
              <w:rPr>
                <w:sz w:val="22"/>
              </w:rPr>
              <w:t>Очень часто</w:t>
            </w:r>
          </w:p>
          <w:p w14:paraId="3C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3D050000">
            <w:pPr>
              <w:widowControl w:val="1"/>
              <w:spacing w:line="240" w:lineRule="auto"/>
              <w:ind w:firstLine="0"/>
              <w:jc w:val="center"/>
              <w:rPr>
                <w:sz w:val="22"/>
              </w:rPr>
            </w:pPr>
            <w:r>
              <w:rPr>
                <w:sz w:val="22"/>
              </w:rPr>
              <w:t>2</w:t>
            </w:r>
          </w:p>
        </w:tc>
        <w:tc>
          <w:tcPr>
            <w:tcW w:type="dxa" w:w="6829"/>
            <w:tcBorders>
              <w:top w:color="000000" w:sz="6" w:val="single"/>
              <w:left w:color="000000" w:sz="6" w:val="single"/>
              <w:bottom w:color="000000" w:sz="6" w:val="single"/>
              <w:right w:color="000000" w:sz="6" w:val="single"/>
            </w:tcBorders>
            <w:shd w:fill="auto" w:val="clear"/>
            <w:vAlign w:val="center"/>
          </w:tcPr>
          <w:p w14:paraId="3E050000">
            <w:pPr>
              <w:widowControl w:val="1"/>
              <w:spacing w:line="240" w:lineRule="auto"/>
              <w:ind/>
              <w:jc w:val="center"/>
              <w:rPr>
                <w:sz w:val="22"/>
              </w:rPr>
            </w:pPr>
            <w:r>
              <w:rPr>
                <w:sz w:val="22"/>
              </w:rPr>
              <w:t>Как часто Вы испытываете трудности при произношении слов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3F050000">
            <w:pPr>
              <w:widowControl w:val="1"/>
              <w:spacing w:line="240" w:lineRule="auto"/>
              <w:ind w:firstLine="0"/>
              <w:jc w:val="center"/>
              <w:rPr>
                <w:sz w:val="22"/>
              </w:rPr>
            </w:pPr>
            <w:r>
              <w:rPr>
                <w:sz w:val="22"/>
              </w:rPr>
              <w:t>Никогда</w:t>
            </w:r>
          </w:p>
          <w:p w14:paraId="40050000">
            <w:pPr>
              <w:widowControl w:val="1"/>
              <w:spacing w:line="240" w:lineRule="auto"/>
              <w:ind w:firstLine="0"/>
              <w:jc w:val="center"/>
              <w:rPr>
                <w:sz w:val="22"/>
              </w:rPr>
            </w:pPr>
            <w:r>
              <w:rPr>
                <w:sz w:val="22"/>
              </w:rPr>
              <w:t>Крайне редко</w:t>
            </w:r>
          </w:p>
          <w:p w14:paraId="41050000">
            <w:pPr>
              <w:widowControl w:val="1"/>
              <w:spacing w:line="240" w:lineRule="auto"/>
              <w:ind w:firstLine="0"/>
              <w:jc w:val="center"/>
              <w:rPr>
                <w:sz w:val="22"/>
              </w:rPr>
            </w:pPr>
            <w:r>
              <w:rPr>
                <w:sz w:val="22"/>
              </w:rPr>
              <w:t>Часто</w:t>
            </w:r>
          </w:p>
          <w:p w14:paraId="42050000">
            <w:pPr>
              <w:widowControl w:val="1"/>
              <w:spacing w:line="240" w:lineRule="auto"/>
              <w:ind w:firstLine="0"/>
              <w:jc w:val="center"/>
              <w:rPr>
                <w:sz w:val="22"/>
              </w:rPr>
            </w:pPr>
            <w:r>
              <w:rPr>
                <w:sz w:val="22"/>
              </w:rPr>
              <w:t>Очень часто</w:t>
            </w:r>
          </w:p>
          <w:p w14:paraId="43050000">
            <w:pPr>
              <w:widowControl w:val="1"/>
              <w:spacing w:line="240" w:lineRule="auto"/>
              <w:ind w:firstLine="0"/>
              <w:jc w:val="center"/>
              <w:rPr>
                <w:sz w:val="22"/>
              </w:rPr>
            </w:pPr>
            <w:r>
              <w:rPr>
                <w:sz w:val="22"/>
              </w:rPr>
              <w:t>Постоянно</w:t>
            </w:r>
          </w:p>
        </w:tc>
      </w:tr>
      <w:tr>
        <w:trPr>
          <w:trHeight w:hRule="atLeast" w:val="1133"/>
        </w:trPr>
        <w:tc>
          <w:tcPr>
            <w:tcW w:type="dxa" w:w="799"/>
            <w:tcBorders>
              <w:top w:color="000000" w:sz="6" w:val="single"/>
              <w:left w:sz="4" w:themeColor="accent5" w:val="double"/>
              <w:bottom w:color="000000" w:sz="6" w:val="single"/>
              <w:right w:color="000000" w:sz="6" w:val="single"/>
            </w:tcBorders>
            <w:shd w:fill="auto" w:val="clear"/>
            <w:vAlign w:val="center"/>
          </w:tcPr>
          <w:p w14:paraId="44050000">
            <w:pPr>
              <w:widowControl w:val="1"/>
              <w:spacing w:line="240" w:lineRule="auto"/>
              <w:ind w:firstLine="0"/>
              <w:jc w:val="center"/>
              <w:rPr>
                <w:sz w:val="22"/>
              </w:rPr>
            </w:pPr>
            <w:r>
              <w:rPr>
                <w:sz w:val="22"/>
              </w:rPr>
              <w:t>3</w:t>
            </w:r>
          </w:p>
        </w:tc>
        <w:tc>
          <w:tcPr>
            <w:tcW w:type="dxa" w:w="6829"/>
            <w:tcBorders>
              <w:top w:color="000000" w:sz="6" w:val="single"/>
              <w:left w:color="000000" w:sz="6" w:val="single"/>
              <w:bottom w:color="000000" w:sz="6" w:val="single"/>
              <w:right w:color="000000" w:sz="6" w:val="single"/>
            </w:tcBorders>
            <w:shd w:fill="auto" w:val="clear"/>
            <w:vAlign w:val="center"/>
          </w:tcPr>
          <w:p w14:paraId="45050000">
            <w:pPr>
              <w:widowControl w:val="1"/>
              <w:spacing w:line="240" w:lineRule="auto"/>
              <w:ind/>
              <w:jc w:val="center"/>
              <w:rPr>
                <w:sz w:val="22"/>
              </w:rPr>
            </w:pPr>
            <w:r>
              <w:rPr>
                <w:sz w:val="22"/>
              </w:rPr>
              <w:t>Как часто вы обращаете внимание на эстетический недостаток ваших зубов?</w:t>
            </w:r>
          </w:p>
        </w:tc>
        <w:tc>
          <w:tcPr>
            <w:tcW w:type="dxa" w:w="1727"/>
            <w:tcBorders>
              <w:top w:color="000000" w:sz="6" w:val="single"/>
              <w:left w:color="000000" w:sz="6" w:val="single"/>
              <w:bottom w:color="000000" w:sz="6" w:val="single"/>
              <w:right w:sz="4" w:themeColor="accent5" w:val="double"/>
            </w:tcBorders>
            <w:shd w:fill="auto" w:val="clear"/>
            <w:vAlign w:val="center"/>
          </w:tcPr>
          <w:p w14:paraId="46050000">
            <w:pPr>
              <w:widowControl w:val="1"/>
              <w:spacing w:line="240" w:lineRule="auto"/>
              <w:ind w:firstLine="0"/>
              <w:jc w:val="center"/>
              <w:rPr>
                <w:sz w:val="22"/>
              </w:rPr>
            </w:pPr>
            <w:r>
              <w:rPr>
                <w:sz w:val="22"/>
              </w:rPr>
              <w:t>Никогда</w:t>
            </w:r>
          </w:p>
          <w:p w14:paraId="47050000">
            <w:pPr>
              <w:widowControl w:val="1"/>
              <w:spacing w:line="240" w:lineRule="auto"/>
              <w:ind w:firstLine="0"/>
              <w:jc w:val="center"/>
              <w:rPr>
                <w:sz w:val="22"/>
              </w:rPr>
            </w:pPr>
            <w:r>
              <w:rPr>
                <w:sz w:val="22"/>
              </w:rPr>
              <w:t>Крайне редко</w:t>
            </w:r>
          </w:p>
          <w:p w14:paraId="48050000">
            <w:pPr>
              <w:widowControl w:val="1"/>
              <w:spacing w:line="240" w:lineRule="auto"/>
              <w:ind w:firstLine="0"/>
              <w:jc w:val="center"/>
              <w:rPr>
                <w:sz w:val="22"/>
              </w:rPr>
            </w:pPr>
            <w:r>
              <w:rPr>
                <w:sz w:val="22"/>
              </w:rPr>
              <w:t>Часто</w:t>
            </w:r>
          </w:p>
          <w:p w14:paraId="49050000">
            <w:pPr>
              <w:widowControl w:val="1"/>
              <w:spacing w:line="240" w:lineRule="auto"/>
              <w:ind w:firstLine="0"/>
              <w:jc w:val="center"/>
              <w:rPr>
                <w:sz w:val="22"/>
              </w:rPr>
            </w:pPr>
            <w:r>
              <w:rPr>
                <w:sz w:val="22"/>
              </w:rPr>
              <w:t>Очень часто</w:t>
            </w:r>
          </w:p>
          <w:p w14:paraId="4A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4B050000">
            <w:pPr>
              <w:widowControl w:val="1"/>
              <w:spacing w:line="240" w:lineRule="auto"/>
              <w:ind w:firstLine="0"/>
              <w:jc w:val="center"/>
              <w:rPr>
                <w:sz w:val="22"/>
              </w:rPr>
            </w:pPr>
            <w:r>
              <w:rPr>
                <w:sz w:val="22"/>
              </w:rPr>
              <w:t>4</w:t>
            </w:r>
          </w:p>
        </w:tc>
        <w:tc>
          <w:tcPr>
            <w:tcW w:type="dxa" w:w="6829"/>
            <w:tcBorders>
              <w:top w:color="000000" w:sz="6" w:val="single"/>
              <w:left w:color="000000" w:sz="6" w:val="single"/>
              <w:bottom w:color="000000" w:sz="6" w:val="single"/>
              <w:right w:color="000000" w:sz="6" w:val="single"/>
            </w:tcBorders>
            <w:shd w:fill="auto" w:val="clear"/>
            <w:vAlign w:val="center"/>
          </w:tcPr>
          <w:p w14:paraId="4C050000">
            <w:pPr>
              <w:widowControl w:val="1"/>
              <w:spacing w:line="240" w:lineRule="auto"/>
              <w:ind/>
              <w:jc w:val="center"/>
              <w:rPr>
                <w:sz w:val="22"/>
              </w:rPr>
            </w:pPr>
            <w:r>
              <w:rPr>
                <w:sz w:val="22"/>
              </w:rPr>
              <w:t>Как часто Вы обращаете внимание на то, что Ваш внешний вид меняется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4D050000">
            <w:pPr>
              <w:widowControl w:val="1"/>
              <w:spacing w:line="240" w:lineRule="auto"/>
              <w:ind w:firstLine="0"/>
              <w:jc w:val="center"/>
              <w:rPr>
                <w:sz w:val="22"/>
              </w:rPr>
            </w:pPr>
            <w:r>
              <w:rPr>
                <w:sz w:val="22"/>
              </w:rPr>
              <w:t>Никогда</w:t>
            </w:r>
          </w:p>
          <w:p w14:paraId="4E050000">
            <w:pPr>
              <w:widowControl w:val="1"/>
              <w:spacing w:line="240" w:lineRule="auto"/>
              <w:ind w:firstLine="0"/>
              <w:jc w:val="center"/>
              <w:rPr>
                <w:sz w:val="22"/>
              </w:rPr>
            </w:pPr>
            <w:r>
              <w:rPr>
                <w:sz w:val="22"/>
              </w:rPr>
              <w:t>Крайне редко</w:t>
            </w:r>
          </w:p>
          <w:p w14:paraId="4F050000">
            <w:pPr>
              <w:widowControl w:val="1"/>
              <w:spacing w:line="240" w:lineRule="auto"/>
              <w:ind w:firstLine="0"/>
              <w:jc w:val="center"/>
              <w:rPr>
                <w:sz w:val="22"/>
              </w:rPr>
            </w:pPr>
            <w:r>
              <w:rPr>
                <w:sz w:val="22"/>
              </w:rPr>
              <w:t>Часто</w:t>
            </w:r>
          </w:p>
          <w:p w14:paraId="50050000">
            <w:pPr>
              <w:widowControl w:val="1"/>
              <w:spacing w:line="240" w:lineRule="auto"/>
              <w:ind w:firstLine="0"/>
              <w:jc w:val="center"/>
              <w:rPr>
                <w:sz w:val="22"/>
              </w:rPr>
            </w:pPr>
            <w:r>
              <w:rPr>
                <w:sz w:val="22"/>
              </w:rPr>
              <w:t>Очень часто</w:t>
            </w:r>
          </w:p>
          <w:p w14:paraId="51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52050000">
            <w:pPr>
              <w:widowControl w:val="1"/>
              <w:spacing w:line="240" w:lineRule="auto"/>
              <w:ind w:firstLine="0"/>
              <w:jc w:val="center"/>
              <w:rPr>
                <w:sz w:val="22"/>
              </w:rPr>
            </w:pPr>
            <w:r>
              <w:rPr>
                <w:sz w:val="22"/>
              </w:rPr>
              <w:t>5</w:t>
            </w:r>
          </w:p>
        </w:tc>
        <w:tc>
          <w:tcPr>
            <w:tcW w:type="dxa" w:w="6829"/>
            <w:tcBorders>
              <w:top w:color="000000" w:sz="6" w:val="single"/>
              <w:left w:color="000000" w:sz="6" w:val="single"/>
              <w:bottom w:color="000000" w:sz="6" w:val="single"/>
              <w:right w:color="000000" w:sz="6" w:val="single"/>
            </w:tcBorders>
            <w:shd w:fill="auto" w:val="clear"/>
            <w:vAlign w:val="center"/>
          </w:tcPr>
          <w:p w14:paraId="53050000">
            <w:pPr>
              <w:widowControl w:val="1"/>
              <w:spacing w:line="240" w:lineRule="auto"/>
              <w:ind/>
              <w:jc w:val="center"/>
              <w:rPr>
                <w:sz w:val="22"/>
              </w:rPr>
            </w:pPr>
            <w:r>
              <w:rPr>
                <w:sz w:val="22"/>
              </w:rPr>
              <w:t>Как часто Вы обращаете внимание на то, что Ваше дыхание испортилось из-за неприятного запаха из полости рта, связанного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54050000">
            <w:pPr>
              <w:widowControl w:val="1"/>
              <w:spacing w:line="240" w:lineRule="auto"/>
              <w:ind w:firstLine="0"/>
              <w:jc w:val="center"/>
              <w:rPr>
                <w:sz w:val="22"/>
              </w:rPr>
            </w:pPr>
            <w:r>
              <w:rPr>
                <w:sz w:val="22"/>
              </w:rPr>
              <w:t>Никогда</w:t>
            </w:r>
          </w:p>
          <w:p w14:paraId="55050000">
            <w:pPr>
              <w:widowControl w:val="1"/>
              <w:spacing w:line="240" w:lineRule="auto"/>
              <w:ind w:firstLine="0"/>
              <w:jc w:val="center"/>
              <w:rPr>
                <w:sz w:val="22"/>
              </w:rPr>
            </w:pPr>
            <w:r>
              <w:rPr>
                <w:sz w:val="22"/>
              </w:rPr>
              <w:t>Крайне редко</w:t>
            </w:r>
          </w:p>
          <w:p w14:paraId="56050000">
            <w:pPr>
              <w:widowControl w:val="1"/>
              <w:spacing w:line="240" w:lineRule="auto"/>
              <w:ind w:firstLine="0"/>
              <w:jc w:val="center"/>
              <w:rPr>
                <w:sz w:val="22"/>
              </w:rPr>
            </w:pPr>
            <w:r>
              <w:rPr>
                <w:sz w:val="22"/>
              </w:rPr>
              <w:t>Часто</w:t>
            </w:r>
          </w:p>
          <w:p w14:paraId="57050000">
            <w:pPr>
              <w:widowControl w:val="1"/>
              <w:spacing w:line="240" w:lineRule="auto"/>
              <w:ind w:firstLine="0"/>
              <w:jc w:val="center"/>
              <w:rPr>
                <w:sz w:val="22"/>
              </w:rPr>
            </w:pPr>
            <w:r>
              <w:rPr>
                <w:sz w:val="22"/>
              </w:rPr>
              <w:t>Очень часто</w:t>
            </w:r>
          </w:p>
          <w:p w14:paraId="58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59050000">
            <w:pPr>
              <w:widowControl w:val="1"/>
              <w:spacing w:line="240" w:lineRule="auto"/>
              <w:ind w:firstLine="0"/>
              <w:jc w:val="center"/>
              <w:rPr>
                <w:sz w:val="22"/>
              </w:rPr>
            </w:pPr>
            <w:r>
              <w:rPr>
                <w:sz w:val="22"/>
              </w:rPr>
              <w:t>6</w:t>
            </w:r>
          </w:p>
        </w:tc>
        <w:tc>
          <w:tcPr>
            <w:tcW w:type="dxa" w:w="6829"/>
            <w:tcBorders>
              <w:top w:color="000000" w:sz="6" w:val="single"/>
              <w:left w:color="000000" w:sz="6" w:val="single"/>
              <w:bottom w:color="000000" w:sz="6" w:val="single"/>
              <w:right w:color="000000" w:sz="6" w:val="single"/>
            </w:tcBorders>
            <w:shd w:fill="auto" w:val="clear"/>
            <w:vAlign w:val="center"/>
          </w:tcPr>
          <w:p w14:paraId="5A050000">
            <w:pPr>
              <w:widowControl w:val="1"/>
              <w:spacing w:line="240" w:lineRule="auto"/>
              <w:ind/>
              <w:jc w:val="center"/>
              <w:rPr>
                <w:sz w:val="22"/>
              </w:rPr>
            </w:pPr>
            <w:r>
              <w:rPr>
                <w:sz w:val="22"/>
              </w:rPr>
              <w:t>Как часто Вы обращаете внимание на то, что у Вас ухудшилось вкусоощущение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5B050000">
            <w:pPr>
              <w:widowControl w:val="1"/>
              <w:spacing w:line="240" w:lineRule="auto"/>
              <w:ind w:firstLine="0"/>
              <w:jc w:val="center"/>
              <w:rPr>
                <w:sz w:val="22"/>
              </w:rPr>
            </w:pPr>
            <w:r>
              <w:rPr>
                <w:sz w:val="22"/>
              </w:rPr>
              <w:t>Никогда</w:t>
            </w:r>
          </w:p>
          <w:p w14:paraId="5C050000">
            <w:pPr>
              <w:widowControl w:val="1"/>
              <w:spacing w:line="240" w:lineRule="auto"/>
              <w:ind w:firstLine="0"/>
              <w:jc w:val="center"/>
              <w:rPr>
                <w:sz w:val="22"/>
              </w:rPr>
            </w:pPr>
            <w:r>
              <w:rPr>
                <w:sz w:val="22"/>
              </w:rPr>
              <w:t>Крайне редко</w:t>
            </w:r>
          </w:p>
          <w:p w14:paraId="5D050000">
            <w:pPr>
              <w:widowControl w:val="1"/>
              <w:spacing w:line="240" w:lineRule="auto"/>
              <w:ind w:firstLine="0"/>
              <w:jc w:val="center"/>
              <w:rPr>
                <w:sz w:val="22"/>
              </w:rPr>
            </w:pPr>
            <w:r>
              <w:rPr>
                <w:sz w:val="22"/>
              </w:rPr>
              <w:t>Часто</w:t>
            </w:r>
          </w:p>
          <w:p w14:paraId="5E050000">
            <w:pPr>
              <w:widowControl w:val="1"/>
              <w:spacing w:line="240" w:lineRule="auto"/>
              <w:ind w:firstLine="0"/>
              <w:jc w:val="center"/>
              <w:rPr>
                <w:sz w:val="22"/>
              </w:rPr>
            </w:pPr>
            <w:r>
              <w:rPr>
                <w:sz w:val="22"/>
              </w:rPr>
              <w:t>Очень часто</w:t>
            </w:r>
          </w:p>
          <w:p w14:paraId="5F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60050000">
            <w:pPr>
              <w:widowControl w:val="1"/>
              <w:spacing w:line="240" w:lineRule="auto"/>
              <w:ind w:firstLine="0"/>
              <w:jc w:val="center"/>
              <w:rPr>
                <w:sz w:val="22"/>
              </w:rPr>
            </w:pPr>
            <w:r>
              <w:rPr>
                <w:sz w:val="22"/>
              </w:rPr>
              <w:t>7</w:t>
            </w:r>
          </w:p>
        </w:tc>
        <w:tc>
          <w:tcPr>
            <w:tcW w:type="dxa" w:w="6829"/>
            <w:tcBorders>
              <w:top w:color="000000" w:sz="6" w:val="single"/>
              <w:left w:color="000000" w:sz="6" w:val="single"/>
              <w:bottom w:color="000000" w:sz="6" w:val="single"/>
              <w:right w:color="000000" w:sz="6" w:val="single"/>
            </w:tcBorders>
            <w:shd w:fill="auto" w:val="clear"/>
            <w:vAlign w:val="center"/>
          </w:tcPr>
          <w:p w14:paraId="61050000">
            <w:pPr>
              <w:widowControl w:val="1"/>
              <w:spacing w:line="240" w:lineRule="auto"/>
              <w:ind/>
              <w:jc w:val="center"/>
              <w:rPr>
                <w:sz w:val="22"/>
              </w:rPr>
            </w:pPr>
            <w:r>
              <w:rPr>
                <w:sz w:val="22"/>
              </w:rPr>
              <w:t>Как часто при приеме пищи последняя застревает между естественными или искусственными зубами (протезами)?</w:t>
            </w:r>
          </w:p>
        </w:tc>
        <w:tc>
          <w:tcPr>
            <w:tcW w:type="dxa" w:w="1727"/>
            <w:tcBorders>
              <w:top w:color="000000" w:sz="6" w:val="single"/>
              <w:left w:color="000000" w:sz="6" w:val="single"/>
              <w:bottom w:color="000000" w:sz="6" w:val="single"/>
              <w:right w:sz="4" w:themeColor="accent5" w:val="double"/>
            </w:tcBorders>
            <w:shd w:fill="auto" w:val="clear"/>
            <w:vAlign w:val="center"/>
          </w:tcPr>
          <w:p w14:paraId="62050000">
            <w:pPr>
              <w:widowControl w:val="1"/>
              <w:spacing w:line="240" w:lineRule="auto"/>
              <w:ind w:firstLine="0"/>
              <w:jc w:val="center"/>
              <w:rPr>
                <w:sz w:val="22"/>
              </w:rPr>
            </w:pPr>
            <w:r>
              <w:rPr>
                <w:sz w:val="22"/>
              </w:rPr>
              <w:t>Никогда</w:t>
            </w:r>
          </w:p>
          <w:p w14:paraId="63050000">
            <w:pPr>
              <w:widowControl w:val="1"/>
              <w:spacing w:line="240" w:lineRule="auto"/>
              <w:ind w:firstLine="0"/>
              <w:jc w:val="center"/>
              <w:rPr>
                <w:sz w:val="22"/>
              </w:rPr>
            </w:pPr>
            <w:r>
              <w:rPr>
                <w:sz w:val="22"/>
              </w:rPr>
              <w:t>Крайне редко</w:t>
            </w:r>
          </w:p>
          <w:p w14:paraId="64050000">
            <w:pPr>
              <w:widowControl w:val="1"/>
              <w:spacing w:line="240" w:lineRule="auto"/>
              <w:ind w:firstLine="0"/>
              <w:jc w:val="center"/>
              <w:rPr>
                <w:sz w:val="22"/>
              </w:rPr>
            </w:pPr>
            <w:r>
              <w:rPr>
                <w:sz w:val="22"/>
              </w:rPr>
              <w:t>Часто</w:t>
            </w:r>
          </w:p>
          <w:p w14:paraId="65050000">
            <w:pPr>
              <w:widowControl w:val="1"/>
              <w:spacing w:line="240" w:lineRule="auto"/>
              <w:ind w:firstLine="0"/>
              <w:jc w:val="center"/>
              <w:rPr>
                <w:sz w:val="22"/>
              </w:rPr>
            </w:pPr>
            <w:r>
              <w:rPr>
                <w:sz w:val="22"/>
              </w:rPr>
              <w:t>Очень часто</w:t>
            </w:r>
          </w:p>
          <w:p w14:paraId="66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67050000">
            <w:pPr>
              <w:widowControl w:val="1"/>
              <w:spacing w:line="240" w:lineRule="auto"/>
              <w:ind w:firstLine="0"/>
              <w:jc w:val="center"/>
              <w:rPr>
                <w:sz w:val="22"/>
              </w:rPr>
            </w:pPr>
            <w:r>
              <w:rPr>
                <w:sz w:val="22"/>
              </w:rPr>
              <w:t>8</w:t>
            </w:r>
          </w:p>
        </w:tc>
        <w:tc>
          <w:tcPr>
            <w:tcW w:type="dxa" w:w="6829"/>
            <w:tcBorders>
              <w:top w:color="000000" w:sz="6" w:val="single"/>
              <w:left w:color="000000" w:sz="6" w:val="single"/>
              <w:bottom w:color="000000" w:sz="6" w:val="single"/>
              <w:right w:color="000000" w:sz="6" w:val="single"/>
            </w:tcBorders>
            <w:shd w:fill="auto" w:val="clear"/>
            <w:vAlign w:val="center"/>
          </w:tcPr>
          <w:p w14:paraId="68050000">
            <w:pPr>
              <w:widowControl w:val="1"/>
              <w:spacing w:line="240" w:lineRule="auto"/>
              <w:ind/>
              <w:jc w:val="center"/>
              <w:rPr>
                <w:sz w:val="22"/>
              </w:rPr>
            </w:pPr>
            <w:r>
              <w:rPr>
                <w:sz w:val="22"/>
              </w:rPr>
              <w:t>Случается ли, что Вы связываете нарушение пищеварения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69050000">
            <w:pPr>
              <w:widowControl w:val="1"/>
              <w:spacing w:line="240" w:lineRule="auto"/>
              <w:ind w:firstLine="0"/>
              <w:jc w:val="center"/>
              <w:rPr>
                <w:sz w:val="22"/>
              </w:rPr>
            </w:pPr>
            <w:r>
              <w:rPr>
                <w:sz w:val="22"/>
              </w:rPr>
              <w:t>Никогда</w:t>
            </w:r>
          </w:p>
          <w:p w14:paraId="6A050000">
            <w:pPr>
              <w:widowControl w:val="1"/>
              <w:spacing w:line="240" w:lineRule="auto"/>
              <w:ind w:firstLine="0"/>
              <w:jc w:val="center"/>
              <w:rPr>
                <w:sz w:val="22"/>
              </w:rPr>
            </w:pPr>
            <w:r>
              <w:rPr>
                <w:sz w:val="22"/>
              </w:rPr>
              <w:t>Крайне редко</w:t>
            </w:r>
          </w:p>
          <w:p w14:paraId="6B050000">
            <w:pPr>
              <w:widowControl w:val="1"/>
              <w:spacing w:line="240" w:lineRule="auto"/>
              <w:ind w:firstLine="0"/>
              <w:jc w:val="center"/>
              <w:rPr>
                <w:sz w:val="22"/>
              </w:rPr>
            </w:pPr>
            <w:r>
              <w:rPr>
                <w:sz w:val="22"/>
              </w:rPr>
              <w:t>Часто</w:t>
            </w:r>
          </w:p>
          <w:p w14:paraId="6C050000">
            <w:pPr>
              <w:widowControl w:val="1"/>
              <w:spacing w:line="240" w:lineRule="auto"/>
              <w:ind w:firstLine="0"/>
              <w:jc w:val="center"/>
              <w:rPr>
                <w:sz w:val="22"/>
              </w:rPr>
            </w:pPr>
            <w:r>
              <w:rPr>
                <w:sz w:val="22"/>
              </w:rPr>
              <w:t>Очень часто</w:t>
            </w:r>
          </w:p>
          <w:p w14:paraId="6D050000">
            <w:pPr>
              <w:widowControl w:val="1"/>
              <w:spacing w:line="240" w:lineRule="auto"/>
              <w:ind w:firstLine="0"/>
              <w:jc w:val="center"/>
              <w:rPr>
                <w:sz w:val="22"/>
              </w:rPr>
            </w:pPr>
            <w:r>
              <w:rPr>
                <w:sz w:val="22"/>
              </w:rPr>
              <w:t>Постоянно</w:t>
            </w:r>
          </w:p>
        </w:tc>
      </w:tr>
      <w:tr>
        <w:trPr>
          <w:trHeight w:hRule="atLeast" w:val="70"/>
        </w:trPr>
        <w:tc>
          <w:tcPr>
            <w:tcW w:type="dxa" w:w="799"/>
            <w:tcBorders>
              <w:top w:color="000000" w:sz="6" w:val="single"/>
              <w:left w:sz="4" w:themeColor="accent5" w:val="double"/>
              <w:bottom w:sz="4" w:themeColor="accent5" w:val="double"/>
              <w:right w:color="000000" w:sz="6" w:val="single"/>
            </w:tcBorders>
            <w:shd w:fill="auto" w:val="clear"/>
            <w:vAlign w:val="center"/>
          </w:tcPr>
          <w:p w14:paraId="6E050000">
            <w:pPr>
              <w:widowControl w:val="1"/>
              <w:spacing w:line="240" w:lineRule="auto"/>
              <w:ind w:firstLine="0"/>
              <w:jc w:val="center"/>
              <w:rPr>
                <w:sz w:val="22"/>
              </w:rPr>
            </w:pPr>
            <w:r>
              <w:rPr>
                <w:sz w:val="22"/>
              </w:rPr>
              <w:t>9</w:t>
            </w:r>
          </w:p>
        </w:tc>
        <w:tc>
          <w:tcPr>
            <w:tcW w:type="dxa" w:w="6829"/>
            <w:tcBorders>
              <w:top w:color="000000" w:sz="6" w:val="single"/>
              <w:left w:color="000000" w:sz="6" w:val="single"/>
              <w:bottom w:sz="4" w:themeColor="accent5" w:val="double"/>
              <w:right w:color="000000" w:sz="6" w:val="single"/>
            </w:tcBorders>
            <w:shd w:fill="auto" w:val="clear"/>
            <w:vAlign w:val="center"/>
          </w:tcPr>
          <w:p w14:paraId="6F050000">
            <w:pPr>
              <w:widowControl w:val="1"/>
              <w:spacing w:line="240" w:lineRule="auto"/>
              <w:ind/>
              <w:jc w:val="center"/>
              <w:rPr>
                <w:sz w:val="22"/>
              </w:rPr>
            </w:pPr>
            <w:r>
              <w:rPr>
                <w:sz w:val="22"/>
              </w:rPr>
              <w:t>Как часто Вас беспокоят жалобы на нарушение фиксации протеза?</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70050000">
            <w:pPr>
              <w:widowControl w:val="1"/>
              <w:spacing w:line="240" w:lineRule="auto"/>
              <w:ind w:firstLine="0"/>
              <w:jc w:val="center"/>
              <w:rPr>
                <w:sz w:val="22"/>
              </w:rPr>
            </w:pPr>
            <w:r>
              <w:rPr>
                <w:sz w:val="22"/>
              </w:rPr>
              <w:t>Никогда</w:t>
            </w:r>
          </w:p>
          <w:p w14:paraId="71050000">
            <w:pPr>
              <w:widowControl w:val="1"/>
              <w:spacing w:line="240" w:lineRule="auto"/>
              <w:ind w:firstLine="0"/>
              <w:jc w:val="center"/>
              <w:rPr>
                <w:sz w:val="22"/>
              </w:rPr>
            </w:pPr>
            <w:r>
              <w:rPr>
                <w:sz w:val="22"/>
              </w:rPr>
              <w:t>Крайне редко</w:t>
            </w:r>
          </w:p>
          <w:p w14:paraId="72050000">
            <w:pPr>
              <w:widowControl w:val="1"/>
              <w:spacing w:line="240" w:lineRule="auto"/>
              <w:ind w:firstLine="0"/>
              <w:jc w:val="center"/>
              <w:rPr>
                <w:sz w:val="22"/>
              </w:rPr>
            </w:pPr>
            <w:r>
              <w:rPr>
                <w:sz w:val="22"/>
              </w:rPr>
              <w:t>Часто</w:t>
            </w:r>
          </w:p>
          <w:p w14:paraId="73050000">
            <w:pPr>
              <w:widowControl w:val="1"/>
              <w:spacing w:line="240" w:lineRule="auto"/>
              <w:ind w:firstLine="0"/>
              <w:jc w:val="center"/>
              <w:rPr>
                <w:sz w:val="22"/>
              </w:rPr>
            </w:pPr>
            <w:r>
              <w:rPr>
                <w:sz w:val="22"/>
              </w:rPr>
              <w:t>Очень часто</w:t>
            </w:r>
          </w:p>
          <w:p w14:paraId="74050000">
            <w:pPr>
              <w:widowControl w:val="1"/>
              <w:spacing w:line="240" w:lineRule="auto"/>
              <w:ind w:firstLine="0"/>
              <w:jc w:val="center"/>
              <w:rPr>
                <w:sz w:val="22"/>
              </w:rPr>
            </w:pPr>
            <w:r>
              <w:rPr>
                <w:sz w:val="22"/>
              </w:rPr>
              <w:t>Постоянно</w:t>
            </w:r>
          </w:p>
        </w:tc>
      </w:tr>
      <w:tr>
        <w:trPr>
          <w:trHeight w:hRule="atLeast" w:val="176"/>
        </w:trP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75050000">
            <w:pPr>
              <w:widowControl w:val="1"/>
              <w:spacing w:line="240" w:lineRule="auto"/>
              <w:ind w:firstLine="0"/>
              <w:jc w:val="center"/>
              <w:rPr>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76050000">
            <w:pPr>
              <w:widowControl w:val="1"/>
              <w:spacing w:line="240" w:lineRule="auto"/>
              <w:ind/>
              <w:jc w:val="center"/>
              <w:rPr>
                <w:b w:val="1"/>
                <w:color w:themeColor="accent5" w:val="4472C4"/>
                <w:sz w:val="22"/>
              </w:rPr>
            </w:pPr>
            <w:r>
              <w:rPr>
                <w:b w:val="1"/>
                <w:color w:themeColor="accent5" w:val="4472C4"/>
                <w:sz w:val="22"/>
              </w:rPr>
              <w:t>Физический дискомфорт</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77050000">
            <w:pPr>
              <w:widowControl w:val="1"/>
              <w:spacing w:line="240" w:lineRule="auto"/>
              <w:ind w:firstLine="0"/>
              <w:jc w:val="center"/>
              <w:rPr>
                <w:sz w:val="22"/>
              </w:rPr>
            </w:pPr>
          </w:p>
        </w:tc>
      </w:tr>
      <w:tr>
        <w:trPr>
          <w:trHeight w:hRule="atLeast" w:val="1062"/>
        </w:trPr>
        <w:tc>
          <w:tcPr>
            <w:tcW w:type="dxa" w:w="799"/>
            <w:tcBorders>
              <w:top w:sz="4" w:themeColor="accent5" w:val="double"/>
              <w:left w:sz="4" w:themeColor="accent5" w:val="double"/>
              <w:bottom w:color="000000" w:sz="6" w:val="single"/>
              <w:right w:color="000000" w:sz="6" w:val="single"/>
            </w:tcBorders>
            <w:shd w:fill="auto" w:val="clear"/>
            <w:vAlign w:val="center"/>
          </w:tcPr>
          <w:p w14:paraId="78050000">
            <w:pPr>
              <w:widowControl w:val="1"/>
              <w:spacing w:line="240" w:lineRule="auto"/>
              <w:ind w:firstLine="0"/>
              <w:jc w:val="center"/>
              <w:rPr>
                <w:sz w:val="22"/>
              </w:rPr>
            </w:pPr>
            <w:r>
              <w:rPr>
                <w:sz w:val="22"/>
              </w:rPr>
              <w:t>10</w:t>
            </w:r>
          </w:p>
        </w:tc>
        <w:tc>
          <w:tcPr>
            <w:tcW w:type="dxa" w:w="6829"/>
            <w:tcBorders>
              <w:top w:sz="4" w:themeColor="accent5" w:val="double"/>
              <w:left w:color="000000" w:sz="6" w:val="single"/>
              <w:bottom w:color="000000" w:sz="6" w:val="single"/>
              <w:right w:color="000000" w:sz="6" w:val="single"/>
            </w:tcBorders>
            <w:shd w:fill="auto" w:val="clear"/>
            <w:vAlign w:val="center"/>
          </w:tcPr>
          <w:p w14:paraId="79050000">
            <w:pPr>
              <w:widowControl w:val="1"/>
              <w:spacing w:line="240" w:lineRule="auto"/>
              <w:ind/>
              <w:jc w:val="center"/>
              <w:rPr>
                <w:sz w:val="22"/>
              </w:rPr>
            </w:pPr>
            <w:r>
              <w:rPr>
                <w:sz w:val="22"/>
              </w:rPr>
              <w:t>Как часто Вы испытываете боль в полости рта?</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7A050000">
            <w:pPr>
              <w:widowControl w:val="1"/>
              <w:spacing w:line="240" w:lineRule="auto"/>
              <w:ind w:firstLine="0"/>
              <w:jc w:val="center"/>
              <w:rPr>
                <w:sz w:val="22"/>
              </w:rPr>
            </w:pPr>
            <w:r>
              <w:rPr>
                <w:sz w:val="22"/>
              </w:rPr>
              <w:t>Никогда</w:t>
            </w:r>
          </w:p>
          <w:p w14:paraId="7B050000">
            <w:pPr>
              <w:widowControl w:val="1"/>
              <w:spacing w:line="240" w:lineRule="auto"/>
              <w:ind w:firstLine="0"/>
              <w:jc w:val="center"/>
              <w:rPr>
                <w:sz w:val="22"/>
              </w:rPr>
            </w:pPr>
            <w:r>
              <w:rPr>
                <w:sz w:val="22"/>
              </w:rPr>
              <w:t>Крайне редко</w:t>
            </w:r>
          </w:p>
          <w:p w14:paraId="7C050000">
            <w:pPr>
              <w:widowControl w:val="1"/>
              <w:spacing w:line="240" w:lineRule="auto"/>
              <w:ind w:firstLine="0"/>
              <w:jc w:val="center"/>
              <w:rPr>
                <w:sz w:val="22"/>
              </w:rPr>
            </w:pPr>
            <w:r>
              <w:rPr>
                <w:sz w:val="22"/>
              </w:rPr>
              <w:t>Часто</w:t>
            </w:r>
          </w:p>
          <w:p w14:paraId="7D050000">
            <w:pPr>
              <w:widowControl w:val="1"/>
              <w:spacing w:line="240" w:lineRule="auto"/>
              <w:ind w:firstLine="0"/>
              <w:jc w:val="center"/>
              <w:rPr>
                <w:sz w:val="22"/>
              </w:rPr>
            </w:pPr>
            <w:r>
              <w:rPr>
                <w:sz w:val="22"/>
              </w:rPr>
              <w:t>Очень часто</w:t>
            </w:r>
          </w:p>
          <w:p w14:paraId="7E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7F050000">
            <w:pPr>
              <w:widowControl w:val="1"/>
              <w:spacing w:line="240" w:lineRule="auto"/>
              <w:ind w:firstLine="0"/>
              <w:jc w:val="center"/>
              <w:rPr>
                <w:sz w:val="22"/>
              </w:rPr>
            </w:pPr>
            <w:r>
              <w:rPr>
                <w:sz w:val="22"/>
              </w:rPr>
              <w:t>11</w:t>
            </w:r>
          </w:p>
        </w:tc>
        <w:tc>
          <w:tcPr>
            <w:tcW w:type="dxa" w:w="6829"/>
            <w:tcBorders>
              <w:top w:color="000000" w:sz="6" w:val="single"/>
              <w:left w:color="000000" w:sz="6" w:val="single"/>
              <w:bottom w:color="000000" w:sz="6" w:val="single"/>
              <w:right w:color="000000" w:sz="6" w:val="single"/>
            </w:tcBorders>
            <w:shd w:fill="auto" w:val="clear"/>
            <w:vAlign w:val="center"/>
          </w:tcPr>
          <w:p w14:paraId="80050000">
            <w:pPr>
              <w:widowControl w:val="1"/>
              <w:spacing w:line="240" w:lineRule="auto"/>
              <w:ind/>
              <w:jc w:val="center"/>
              <w:rPr>
                <w:sz w:val="22"/>
              </w:rPr>
            </w:pPr>
            <w:r>
              <w:rPr>
                <w:sz w:val="22"/>
              </w:rPr>
              <w:t>Как часто Вас беспокоит боль в челюстях?</w:t>
            </w:r>
          </w:p>
        </w:tc>
        <w:tc>
          <w:tcPr>
            <w:tcW w:type="dxa" w:w="1727"/>
            <w:tcBorders>
              <w:top w:color="000000" w:sz="6" w:val="single"/>
              <w:left w:color="000000" w:sz="6" w:val="single"/>
              <w:bottom w:color="000000" w:sz="6" w:val="single"/>
              <w:right w:sz="4" w:themeColor="accent5" w:val="double"/>
            </w:tcBorders>
            <w:shd w:fill="auto" w:val="clear"/>
            <w:vAlign w:val="center"/>
          </w:tcPr>
          <w:p w14:paraId="81050000">
            <w:pPr>
              <w:widowControl w:val="1"/>
              <w:spacing w:line="240" w:lineRule="auto"/>
              <w:ind w:firstLine="0"/>
              <w:jc w:val="center"/>
              <w:rPr>
                <w:sz w:val="22"/>
              </w:rPr>
            </w:pPr>
            <w:r>
              <w:rPr>
                <w:sz w:val="22"/>
              </w:rPr>
              <w:t>Никогда</w:t>
            </w:r>
          </w:p>
          <w:p w14:paraId="82050000">
            <w:pPr>
              <w:widowControl w:val="1"/>
              <w:spacing w:line="240" w:lineRule="auto"/>
              <w:ind w:firstLine="0"/>
              <w:jc w:val="center"/>
              <w:rPr>
                <w:sz w:val="22"/>
              </w:rPr>
            </w:pPr>
            <w:r>
              <w:rPr>
                <w:sz w:val="22"/>
              </w:rPr>
              <w:t>Крайне редко</w:t>
            </w:r>
          </w:p>
          <w:p w14:paraId="83050000">
            <w:pPr>
              <w:widowControl w:val="1"/>
              <w:spacing w:line="240" w:lineRule="auto"/>
              <w:ind w:firstLine="0"/>
              <w:jc w:val="center"/>
              <w:rPr>
                <w:sz w:val="22"/>
              </w:rPr>
            </w:pPr>
            <w:r>
              <w:rPr>
                <w:sz w:val="22"/>
              </w:rPr>
              <w:t>Часто</w:t>
            </w:r>
          </w:p>
          <w:p w14:paraId="84050000">
            <w:pPr>
              <w:widowControl w:val="1"/>
              <w:spacing w:line="240" w:lineRule="auto"/>
              <w:ind w:firstLine="0"/>
              <w:jc w:val="center"/>
              <w:rPr>
                <w:sz w:val="22"/>
              </w:rPr>
            </w:pPr>
            <w:r>
              <w:rPr>
                <w:sz w:val="22"/>
              </w:rPr>
              <w:t>Очень часто</w:t>
            </w:r>
          </w:p>
          <w:p w14:paraId="85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86050000">
            <w:pPr>
              <w:widowControl w:val="1"/>
              <w:spacing w:line="240" w:lineRule="auto"/>
              <w:ind w:firstLine="0"/>
              <w:jc w:val="center"/>
              <w:rPr>
                <w:sz w:val="22"/>
              </w:rPr>
            </w:pPr>
            <w:r>
              <w:rPr>
                <w:sz w:val="22"/>
              </w:rPr>
              <w:t>12</w:t>
            </w:r>
          </w:p>
        </w:tc>
        <w:tc>
          <w:tcPr>
            <w:tcW w:type="dxa" w:w="6829"/>
            <w:tcBorders>
              <w:top w:color="000000" w:sz="6" w:val="single"/>
              <w:left w:color="000000" w:sz="6" w:val="single"/>
              <w:bottom w:color="000000" w:sz="6" w:val="single"/>
              <w:right w:color="000000" w:sz="6" w:val="single"/>
            </w:tcBorders>
            <w:shd w:fill="auto" w:val="clear"/>
            <w:vAlign w:val="center"/>
          </w:tcPr>
          <w:p w14:paraId="87050000">
            <w:pPr>
              <w:widowControl w:val="1"/>
              <w:spacing w:line="240" w:lineRule="auto"/>
              <w:ind/>
              <w:jc w:val="center"/>
              <w:rPr>
                <w:sz w:val="22"/>
              </w:rPr>
            </w:pPr>
            <w:r>
              <w:rPr>
                <w:sz w:val="22"/>
              </w:rPr>
              <w:t>Случается ли, что Вы испытываете головную боль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88050000">
            <w:pPr>
              <w:widowControl w:val="1"/>
              <w:spacing w:line="240" w:lineRule="auto"/>
              <w:ind w:firstLine="0"/>
              <w:jc w:val="center"/>
              <w:rPr>
                <w:sz w:val="22"/>
              </w:rPr>
            </w:pPr>
            <w:r>
              <w:rPr>
                <w:sz w:val="22"/>
              </w:rPr>
              <w:t>Никогда</w:t>
            </w:r>
          </w:p>
          <w:p w14:paraId="89050000">
            <w:pPr>
              <w:widowControl w:val="1"/>
              <w:spacing w:line="240" w:lineRule="auto"/>
              <w:ind w:firstLine="0"/>
              <w:jc w:val="center"/>
              <w:rPr>
                <w:sz w:val="22"/>
              </w:rPr>
            </w:pPr>
            <w:r>
              <w:rPr>
                <w:sz w:val="22"/>
              </w:rPr>
              <w:t>Крайне редко</w:t>
            </w:r>
          </w:p>
          <w:p w14:paraId="8A050000">
            <w:pPr>
              <w:widowControl w:val="1"/>
              <w:spacing w:line="240" w:lineRule="auto"/>
              <w:ind w:firstLine="0"/>
              <w:jc w:val="center"/>
              <w:rPr>
                <w:sz w:val="22"/>
              </w:rPr>
            </w:pPr>
            <w:r>
              <w:rPr>
                <w:sz w:val="22"/>
              </w:rPr>
              <w:t>Часто</w:t>
            </w:r>
          </w:p>
          <w:p w14:paraId="8B050000">
            <w:pPr>
              <w:widowControl w:val="1"/>
              <w:spacing w:line="240" w:lineRule="auto"/>
              <w:ind w:firstLine="0"/>
              <w:jc w:val="center"/>
              <w:rPr>
                <w:sz w:val="22"/>
              </w:rPr>
            </w:pPr>
            <w:r>
              <w:rPr>
                <w:sz w:val="22"/>
              </w:rPr>
              <w:t>Очень часто</w:t>
            </w:r>
          </w:p>
          <w:p w14:paraId="8C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8D050000">
            <w:pPr>
              <w:widowControl w:val="1"/>
              <w:spacing w:line="240" w:lineRule="auto"/>
              <w:ind w:firstLine="0"/>
              <w:jc w:val="center"/>
              <w:rPr>
                <w:sz w:val="22"/>
              </w:rPr>
            </w:pPr>
            <w:r>
              <w:rPr>
                <w:sz w:val="22"/>
              </w:rPr>
              <w:t>13</w:t>
            </w:r>
          </w:p>
        </w:tc>
        <w:tc>
          <w:tcPr>
            <w:tcW w:type="dxa" w:w="6829"/>
            <w:tcBorders>
              <w:top w:color="000000" w:sz="6" w:val="single"/>
              <w:left w:color="000000" w:sz="6" w:val="single"/>
              <w:bottom w:color="000000" w:sz="6" w:val="single"/>
              <w:right w:color="000000" w:sz="6" w:val="single"/>
            </w:tcBorders>
            <w:shd w:fill="auto" w:val="clear"/>
            <w:vAlign w:val="center"/>
          </w:tcPr>
          <w:p w14:paraId="8E050000">
            <w:pPr>
              <w:widowControl w:val="1"/>
              <w:spacing w:line="240" w:lineRule="auto"/>
              <w:ind/>
              <w:jc w:val="center"/>
              <w:rPr>
                <w:sz w:val="22"/>
              </w:rPr>
            </w:pPr>
            <w:r>
              <w:rPr>
                <w:sz w:val="22"/>
              </w:rPr>
              <w:t>Как часто Вы отмечаете повышенную чувствительность зубов к приему горячей, холодной, кислой или соленой пищи?</w:t>
            </w:r>
          </w:p>
        </w:tc>
        <w:tc>
          <w:tcPr>
            <w:tcW w:type="dxa" w:w="1727"/>
            <w:tcBorders>
              <w:top w:color="000000" w:sz="6" w:val="single"/>
              <w:left w:color="000000" w:sz="6" w:val="single"/>
              <w:bottom w:color="000000" w:sz="6" w:val="single"/>
              <w:right w:sz="4" w:themeColor="accent5" w:val="double"/>
            </w:tcBorders>
            <w:shd w:fill="auto" w:val="clear"/>
            <w:vAlign w:val="center"/>
          </w:tcPr>
          <w:p w14:paraId="8F050000">
            <w:pPr>
              <w:widowControl w:val="1"/>
              <w:spacing w:line="240" w:lineRule="auto"/>
              <w:ind w:firstLine="0"/>
              <w:jc w:val="center"/>
              <w:rPr>
                <w:sz w:val="22"/>
              </w:rPr>
            </w:pPr>
            <w:r>
              <w:rPr>
                <w:sz w:val="22"/>
              </w:rPr>
              <w:t>Никогда</w:t>
            </w:r>
          </w:p>
          <w:p w14:paraId="90050000">
            <w:pPr>
              <w:widowControl w:val="1"/>
              <w:spacing w:line="240" w:lineRule="auto"/>
              <w:ind w:firstLine="0"/>
              <w:jc w:val="center"/>
              <w:rPr>
                <w:sz w:val="22"/>
              </w:rPr>
            </w:pPr>
            <w:r>
              <w:rPr>
                <w:sz w:val="22"/>
              </w:rPr>
              <w:t>Крайне редко</w:t>
            </w:r>
          </w:p>
          <w:p w14:paraId="91050000">
            <w:pPr>
              <w:widowControl w:val="1"/>
              <w:spacing w:line="240" w:lineRule="auto"/>
              <w:ind w:firstLine="0"/>
              <w:jc w:val="center"/>
              <w:rPr>
                <w:sz w:val="22"/>
              </w:rPr>
            </w:pPr>
            <w:r>
              <w:rPr>
                <w:sz w:val="22"/>
              </w:rPr>
              <w:t>Часто</w:t>
            </w:r>
          </w:p>
          <w:p w14:paraId="92050000">
            <w:pPr>
              <w:widowControl w:val="1"/>
              <w:spacing w:line="240" w:lineRule="auto"/>
              <w:ind w:firstLine="0"/>
              <w:jc w:val="center"/>
              <w:rPr>
                <w:sz w:val="22"/>
              </w:rPr>
            </w:pPr>
            <w:r>
              <w:rPr>
                <w:sz w:val="22"/>
              </w:rPr>
              <w:t>Очень часто</w:t>
            </w:r>
          </w:p>
          <w:p w14:paraId="93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94050000">
            <w:pPr>
              <w:widowControl w:val="1"/>
              <w:spacing w:line="240" w:lineRule="auto"/>
              <w:ind w:firstLine="0"/>
              <w:jc w:val="center"/>
              <w:rPr>
                <w:sz w:val="22"/>
              </w:rPr>
            </w:pPr>
            <w:r>
              <w:rPr>
                <w:sz w:val="22"/>
              </w:rPr>
              <w:t>14</w:t>
            </w:r>
          </w:p>
        </w:tc>
        <w:tc>
          <w:tcPr>
            <w:tcW w:type="dxa" w:w="6829"/>
            <w:tcBorders>
              <w:top w:color="000000" w:sz="6" w:val="single"/>
              <w:left w:color="000000" w:sz="6" w:val="single"/>
              <w:bottom w:color="000000" w:sz="6" w:val="single"/>
              <w:right w:color="000000" w:sz="6" w:val="single"/>
            </w:tcBorders>
            <w:shd w:fill="auto" w:val="clear"/>
            <w:vAlign w:val="center"/>
          </w:tcPr>
          <w:p w14:paraId="95050000">
            <w:pPr>
              <w:widowControl w:val="1"/>
              <w:spacing w:line="240" w:lineRule="auto"/>
              <w:ind/>
              <w:jc w:val="center"/>
              <w:rPr>
                <w:sz w:val="22"/>
              </w:rPr>
            </w:pPr>
            <w:r>
              <w:rPr>
                <w:sz w:val="22"/>
              </w:rPr>
              <w:t>Как часто Вас беспокоит зубная боль?</w:t>
            </w:r>
          </w:p>
        </w:tc>
        <w:tc>
          <w:tcPr>
            <w:tcW w:type="dxa" w:w="1727"/>
            <w:tcBorders>
              <w:top w:color="000000" w:sz="6" w:val="single"/>
              <w:left w:color="000000" w:sz="6" w:val="single"/>
              <w:bottom w:color="000000" w:sz="6" w:val="single"/>
              <w:right w:sz="4" w:themeColor="accent5" w:val="double"/>
            </w:tcBorders>
            <w:shd w:fill="auto" w:val="clear"/>
            <w:vAlign w:val="center"/>
          </w:tcPr>
          <w:p w14:paraId="96050000">
            <w:pPr>
              <w:widowControl w:val="1"/>
              <w:spacing w:line="240" w:lineRule="auto"/>
              <w:ind w:firstLine="0"/>
              <w:jc w:val="center"/>
              <w:rPr>
                <w:sz w:val="22"/>
              </w:rPr>
            </w:pPr>
            <w:r>
              <w:rPr>
                <w:sz w:val="22"/>
              </w:rPr>
              <w:t>Никогда</w:t>
            </w:r>
          </w:p>
          <w:p w14:paraId="97050000">
            <w:pPr>
              <w:widowControl w:val="1"/>
              <w:spacing w:line="240" w:lineRule="auto"/>
              <w:ind w:firstLine="0"/>
              <w:jc w:val="center"/>
              <w:rPr>
                <w:sz w:val="22"/>
              </w:rPr>
            </w:pPr>
            <w:r>
              <w:rPr>
                <w:sz w:val="22"/>
              </w:rPr>
              <w:t>Крайне редко</w:t>
            </w:r>
          </w:p>
          <w:p w14:paraId="98050000">
            <w:pPr>
              <w:widowControl w:val="1"/>
              <w:spacing w:line="240" w:lineRule="auto"/>
              <w:ind w:firstLine="0"/>
              <w:jc w:val="center"/>
              <w:rPr>
                <w:sz w:val="22"/>
              </w:rPr>
            </w:pPr>
            <w:r>
              <w:rPr>
                <w:sz w:val="22"/>
              </w:rPr>
              <w:t>Часто</w:t>
            </w:r>
          </w:p>
          <w:p w14:paraId="99050000">
            <w:pPr>
              <w:widowControl w:val="1"/>
              <w:spacing w:line="240" w:lineRule="auto"/>
              <w:ind w:firstLine="0"/>
              <w:jc w:val="center"/>
              <w:rPr>
                <w:sz w:val="22"/>
              </w:rPr>
            </w:pPr>
            <w:r>
              <w:rPr>
                <w:sz w:val="22"/>
              </w:rPr>
              <w:t>Очень часто</w:t>
            </w:r>
          </w:p>
          <w:p w14:paraId="9A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9B050000">
            <w:pPr>
              <w:widowControl w:val="1"/>
              <w:spacing w:line="240" w:lineRule="auto"/>
              <w:ind w:firstLine="0"/>
              <w:jc w:val="center"/>
              <w:rPr>
                <w:sz w:val="22"/>
              </w:rPr>
            </w:pPr>
            <w:r>
              <w:rPr>
                <w:sz w:val="22"/>
              </w:rPr>
              <w:t>15</w:t>
            </w:r>
          </w:p>
        </w:tc>
        <w:tc>
          <w:tcPr>
            <w:tcW w:type="dxa" w:w="6829"/>
            <w:tcBorders>
              <w:top w:color="000000" w:sz="6" w:val="single"/>
              <w:left w:color="000000" w:sz="6" w:val="single"/>
              <w:bottom w:color="000000" w:sz="6" w:val="single"/>
              <w:right w:color="000000" w:sz="6" w:val="single"/>
            </w:tcBorders>
            <w:shd w:fill="auto" w:val="clear"/>
            <w:vAlign w:val="center"/>
          </w:tcPr>
          <w:p w14:paraId="9C050000">
            <w:pPr>
              <w:widowControl w:val="1"/>
              <w:spacing w:line="240" w:lineRule="auto"/>
              <w:ind/>
              <w:jc w:val="center"/>
              <w:rPr>
                <w:sz w:val="22"/>
              </w:rPr>
            </w:pPr>
            <w:r>
              <w:rPr>
                <w:sz w:val="22"/>
              </w:rPr>
              <w:t>Как часто Вас беспокоит боль в деснах?</w:t>
            </w:r>
          </w:p>
        </w:tc>
        <w:tc>
          <w:tcPr>
            <w:tcW w:type="dxa" w:w="1727"/>
            <w:tcBorders>
              <w:top w:color="000000" w:sz="6" w:val="single"/>
              <w:left w:color="000000" w:sz="6" w:val="single"/>
              <w:bottom w:color="000000" w:sz="6" w:val="single"/>
              <w:right w:sz="4" w:themeColor="accent5" w:val="double"/>
            </w:tcBorders>
            <w:shd w:fill="auto" w:val="clear"/>
            <w:vAlign w:val="center"/>
          </w:tcPr>
          <w:p w14:paraId="9D050000">
            <w:pPr>
              <w:widowControl w:val="1"/>
              <w:spacing w:line="240" w:lineRule="auto"/>
              <w:ind w:firstLine="0"/>
              <w:jc w:val="center"/>
              <w:rPr>
                <w:sz w:val="22"/>
              </w:rPr>
            </w:pPr>
            <w:r>
              <w:rPr>
                <w:sz w:val="22"/>
              </w:rPr>
              <w:t>Никогда</w:t>
            </w:r>
          </w:p>
          <w:p w14:paraId="9E050000">
            <w:pPr>
              <w:widowControl w:val="1"/>
              <w:spacing w:line="240" w:lineRule="auto"/>
              <w:ind w:firstLine="0"/>
              <w:jc w:val="center"/>
              <w:rPr>
                <w:sz w:val="22"/>
              </w:rPr>
            </w:pPr>
            <w:r>
              <w:rPr>
                <w:sz w:val="22"/>
              </w:rPr>
              <w:t>Крайне редко</w:t>
            </w:r>
          </w:p>
          <w:p w14:paraId="9F050000">
            <w:pPr>
              <w:widowControl w:val="1"/>
              <w:spacing w:line="240" w:lineRule="auto"/>
              <w:ind w:firstLine="0"/>
              <w:jc w:val="center"/>
              <w:rPr>
                <w:sz w:val="22"/>
              </w:rPr>
            </w:pPr>
            <w:r>
              <w:rPr>
                <w:sz w:val="22"/>
              </w:rPr>
              <w:t>Часто</w:t>
            </w:r>
          </w:p>
          <w:p w14:paraId="A0050000">
            <w:pPr>
              <w:widowControl w:val="1"/>
              <w:spacing w:line="240" w:lineRule="auto"/>
              <w:ind w:firstLine="0"/>
              <w:jc w:val="center"/>
              <w:rPr>
                <w:sz w:val="22"/>
              </w:rPr>
            </w:pPr>
            <w:r>
              <w:rPr>
                <w:sz w:val="22"/>
              </w:rPr>
              <w:t>Очень часто</w:t>
            </w:r>
          </w:p>
          <w:p w14:paraId="A1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A2050000">
            <w:pPr>
              <w:widowControl w:val="1"/>
              <w:spacing w:line="240" w:lineRule="auto"/>
              <w:ind w:firstLine="0"/>
              <w:jc w:val="center"/>
              <w:rPr>
                <w:sz w:val="22"/>
              </w:rPr>
            </w:pPr>
            <w:r>
              <w:rPr>
                <w:sz w:val="22"/>
              </w:rPr>
              <w:t>16</w:t>
            </w:r>
          </w:p>
        </w:tc>
        <w:tc>
          <w:tcPr>
            <w:tcW w:type="dxa" w:w="6829"/>
            <w:tcBorders>
              <w:top w:color="000000" w:sz="6" w:val="single"/>
              <w:left w:color="000000" w:sz="6" w:val="single"/>
              <w:bottom w:color="000000" w:sz="6" w:val="single"/>
              <w:right w:color="000000" w:sz="6" w:val="single"/>
            </w:tcBorders>
            <w:shd w:fill="auto" w:val="clear"/>
            <w:vAlign w:val="center"/>
          </w:tcPr>
          <w:p w14:paraId="A3050000">
            <w:pPr>
              <w:widowControl w:val="1"/>
              <w:spacing w:line="240" w:lineRule="auto"/>
              <w:ind/>
              <w:jc w:val="center"/>
              <w:rPr>
                <w:sz w:val="22"/>
              </w:rPr>
            </w:pPr>
            <w:r>
              <w:rPr>
                <w:sz w:val="22"/>
              </w:rPr>
              <w:t>Меняется ли привычный для Вас пищевой рацион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A4050000">
            <w:pPr>
              <w:widowControl w:val="1"/>
              <w:spacing w:line="240" w:lineRule="auto"/>
              <w:ind w:firstLine="0"/>
              <w:jc w:val="center"/>
              <w:rPr>
                <w:sz w:val="22"/>
              </w:rPr>
            </w:pPr>
            <w:r>
              <w:rPr>
                <w:sz w:val="22"/>
              </w:rPr>
              <w:t>Никогда</w:t>
            </w:r>
          </w:p>
          <w:p w14:paraId="A5050000">
            <w:pPr>
              <w:widowControl w:val="1"/>
              <w:spacing w:line="240" w:lineRule="auto"/>
              <w:ind w:firstLine="0"/>
              <w:jc w:val="center"/>
              <w:rPr>
                <w:sz w:val="22"/>
              </w:rPr>
            </w:pPr>
            <w:r>
              <w:rPr>
                <w:sz w:val="22"/>
              </w:rPr>
              <w:t>Крайне редко</w:t>
            </w:r>
          </w:p>
          <w:p w14:paraId="A6050000">
            <w:pPr>
              <w:widowControl w:val="1"/>
              <w:spacing w:line="240" w:lineRule="auto"/>
              <w:ind w:firstLine="0"/>
              <w:jc w:val="center"/>
              <w:rPr>
                <w:sz w:val="22"/>
              </w:rPr>
            </w:pPr>
            <w:r>
              <w:rPr>
                <w:sz w:val="22"/>
              </w:rPr>
              <w:t>Часто</w:t>
            </w:r>
          </w:p>
          <w:p w14:paraId="A7050000">
            <w:pPr>
              <w:widowControl w:val="1"/>
              <w:spacing w:line="240" w:lineRule="auto"/>
              <w:ind w:firstLine="0"/>
              <w:jc w:val="center"/>
              <w:rPr>
                <w:sz w:val="22"/>
              </w:rPr>
            </w:pPr>
            <w:r>
              <w:rPr>
                <w:sz w:val="22"/>
              </w:rPr>
              <w:t>Очень часто</w:t>
            </w:r>
          </w:p>
          <w:p w14:paraId="A8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A9050000">
            <w:pPr>
              <w:widowControl w:val="1"/>
              <w:spacing w:line="240" w:lineRule="auto"/>
              <w:ind w:firstLine="0"/>
              <w:jc w:val="center"/>
              <w:rPr>
                <w:sz w:val="22"/>
              </w:rPr>
            </w:pPr>
            <w:r>
              <w:rPr>
                <w:sz w:val="22"/>
              </w:rPr>
              <w:t>17</w:t>
            </w:r>
          </w:p>
        </w:tc>
        <w:tc>
          <w:tcPr>
            <w:tcW w:type="dxa" w:w="6829"/>
            <w:tcBorders>
              <w:top w:color="000000" w:sz="6" w:val="single"/>
              <w:left w:color="000000" w:sz="6" w:val="single"/>
              <w:bottom w:color="000000" w:sz="6" w:val="single"/>
              <w:right w:color="000000" w:sz="6" w:val="single"/>
            </w:tcBorders>
            <w:shd w:fill="auto" w:val="clear"/>
            <w:vAlign w:val="center"/>
          </w:tcPr>
          <w:p w14:paraId="AA050000">
            <w:pPr>
              <w:widowControl w:val="1"/>
              <w:spacing w:line="240" w:lineRule="auto"/>
              <w:ind/>
              <w:jc w:val="center"/>
              <w:rPr>
                <w:sz w:val="22"/>
              </w:rPr>
            </w:pPr>
            <w:r>
              <w:rPr>
                <w:sz w:val="22"/>
              </w:rPr>
              <w:t>Отмечаете ли Вы болезненные участки на слизистой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AB050000">
            <w:pPr>
              <w:widowControl w:val="1"/>
              <w:spacing w:line="240" w:lineRule="auto"/>
              <w:ind w:firstLine="0"/>
              <w:jc w:val="center"/>
              <w:rPr>
                <w:sz w:val="22"/>
              </w:rPr>
            </w:pPr>
            <w:r>
              <w:rPr>
                <w:sz w:val="22"/>
              </w:rPr>
              <w:t>Никогда</w:t>
            </w:r>
          </w:p>
          <w:p w14:paraId="AC050000">
            <w:pPr>
              <w:widowControl w:val="1"/>
              <w:spacing w:line="240" w:lineRule="auto"/>
              <w:ind w:firstLine="0"/>
              <w:jc w:val="center"/>
              <w:rPr>
                <w:sz w:val="22"/>
              </w:rPr>
            </w:pPr>
            <w:r>
              <w:rPr>
                <w:sz w:val="22"/>
              </w:rPr>
              <w:t>Крайне редко</w:t>
            </w:r>
          </w:p>
          <w:p w14:paraId="AD050000">
            <w:pPr>
              <w:widowControl w:val="1"/>
              <w:spacing w:line="240" w:lineRule="auto"/>
              <w:ind w:firstLine="0"/>
              <w:jc w:val="center"/>
              <w:rPr>
                <w:sz w:val="22"/>
              </w:rPr>
            </w:pPr>
            <w:r>
              <w:rPr>
                <w:sz w:val="22"/>
              </w:rPr>
              <w:t>Часто</w:t>
            </w:r>
          </w:p>
          <w:p w14:paraId="AE050000">
            <w:pPr>
              <w:widowControl w:val="1"/>
              <w:spacing w:line="240" w:lineRule="auto"/>
              <w:ind w:firstLine="0"/>
              <w:jc w:val="center"/>
              <w:rPr>
                <w:sz w:val="22"/>
              </w:rPr>
            </w:pPr>
            <w:r>
              <w:rPr>
                <w:sz w:val="22"/>
              </w:rPr>
              <w:t>Очень часто</w:t>
            </w:r>
          </w:p>
          <w:p w14:paraId="AF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B0050000">
            <w:pPr>
              <w:widowControl w:val="1"/>
              <w:spacing w:line="240" w:lineRule="auto"/>
              <w:ind w:firstLine="0"/>
              <w:jc w:val="center"/>
              <w:rPr>
                <w:sz w:val="22"/>
              </w:rPr>
            </w:pPr>
            <w:r>
              <w:rPr>
                <w:sz w:val="22"/>
              </w:rPr>
              <w:t>18</w:t>
            </w:r>
          </w:p>
        </w:tc>
        <w:tc>
          <w:tcPr>
            <w:tcW w:type="dxa" w:w="6829"/>
            <w:tcBorders>
              <w:top w:color="000000" w:sz="6" w:val="single"/>
              <w:left w:color="000000" w:sz="6" w:val="single"/>
              <w:bottom w:sz="4" w:themeColor="accent5" w:val="double"/>
              <w:right w:color="000000" w:sz="6" w:val="single"/>
            </w:tcBorders>
            <w:shd w:fill="auto" w:val="clear"/>
            <w:vAlign w:val="center"/>
          </w:tcPr>
          <w:p w14:paraId="B1050000">
            <w:pPr>
              <w:widowControl w:val="1"/>
              <w:spacing w:line="240" w:lineRule="auto"/>
              <w:ind/>
              <w:jc w:val="center"/>
              <w:rPr>
                <w:sz w:val="22"/>
              </w:rPr>
            </w:pPr>
            <w:r>
              <w:rPr>
                <w:sz w:val="22"/>
              </w:rPr>
              <w:t>Считаете ли Вы Ваши протезы неудобными?</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B2050000">
            <w:pPr>
              <w:widowControl w:val="1"/>
              <w:spacing w:line="240" w:lineRule="auto"/>
              <w:ind w:firstLine="0"/>
              <w:jc w:val="center"/>
              <w:rPr>
                <w:sz w:val="22"/>
              </w:rPr>
            </w:pPr>
            <w:r>
              <w:rPr>
                <w:sz w:val="22"/>
              </w:rPr>
              <w:t>Никогда</w:t>
            </w:r>
          </w:p>
          <w:p w14:paraId="B3050000">
            <w:pPr>
              <w:widowControl w:val="1"/>
              <w:spacing w:line="240" w:lineRule="auto"/>
              <w:ind w:firstLine="0"/>
              <w:jc w:val="center"/>
              <w:rPr>
                <w:sz w:val="22"/>
              </w:rPr>
            </w:pPr>
            <w:r>
              <w:rPr>
                <w:sz w:val="22"/>
              </w:rPr>
              <w:t>Крайне редко</w:t>
            </w:r>
          </w:p>
          <w:p w14:paraId="B4050000">
            <w:pPr>
              <w:widowControl w:val="1"/>
              <w:spacing w:line="240" w:lineRule="auto"/>
              <w:ind w:firstLine="0"/>
              <w:jc w:val="center"/>
              <w:rPr>
                <w:sz w:val="22"/>
              </w:rPr>
            </w:pPr>
            <w:r>
              <w:rPr>
                <w:sz w:val="22"/>
              </w:rPr>
              <w:t>Часто</w:t>
            </w:r>
          </w:p>
          <w:p w14:paraId="B5050000">
            <w:pPr>
              <w:widowControl w:val="1"/>
              <w:spacing w:line="240" w:lineRule="auto"/>
              <w:ind w:firstLine="0"/>
              <w:jc w:val="center"/>
              <w:rPr>
                <w:sz w:val="22"/>
              </w:rPr>
            </w:pPr>
            <w:r>
              <w:rPr>
                <w:sz w:val="22"/>
              </w:rPr>
              <w:t>Очень часто</w:t>
            </w:r>
          </w:p>
          <w:p w14:paraId="B6050000">
            <w:pPr>
              <w:widowControl w:val="1"/>
              <w:spacing w:line="240" w:lineRule="auto"/>
              <w:ind w:firstLine="0"/>
              <w:jc w:val="center"/>
              <w:rPr>
                <w:sz w:val="22"/>
              </w:rPr>
            </w:pPr>
            <w:r>
              <w:rPr>
                <w:sz w:val="22"/>
              </w:rPr>
              <w:t>Постоянно</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B7050000">
            <w:pPr>
              <w:widowControl w:val="1"/>
              <w:spacing w:line="240" w:lineRule="auto"/>
              <w:ind w:firstLine="0"/>
              <w:jc w:val="center"/>
              <w:rPr>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B8050000">
            <w:pPr>
              <w:widowControl w:val="1"/>
              <w:spacing w:line="240" w:lineRule="auto"/>
              <w:ind/>
              <w:jc w:val="center"/>
              <w:rPr>
                <w:b w:val="1"/>
                <w:color w:themeColor="accent5" w:val="4472C4"/>
                <w:sz w:val="22"/>
              </w:rPr>
            </w:pPr>
            <w:r>
              <w:rPr>
                <w:b w:val="1"/>
                <w:color w:themeColor="accent5" w:val="4472C4"/>
                <w:sz w:val="22"/>
              </w:rPr>
              <w:t>Психологический дискомфорт</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B9050000">
            <w:pPr>
              <w:widowControl w:val="1"/>
              <w:spacing w:line="240" w:lineRule="auto"/>
              <w:ind w:firstLine="0"/>
              <w:jc w:val="center"/>
              <w:rPr>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BA050000">
            <w:pPr>
              <w:widowControl w:val="1"/>
              <w:spacing w:line="240" w:lineRule="auto"/>
              <w:ind w:firstLine="0"/>
              <w:jc w:val="center"/>
              <w:rPr>
                <w:sz w:val="22"/>
              </w:rPr>
            </w:pPr>
            <w:r>
              <w:rPr>
                <w:sz w:val="22"/>
              </w:rPr>
              <w:t>19</w:t>
            </w:r>
          </w:p>
        </w:tc>
        <w:tc>
          <w:tcPr>
            <w:tcW w:type="dxa" w:w="6829"/>
            <w:tcBorders>
              <w:top w:sz="4" w:themeColor="accent5" w:val="double"/>
              <w:left w:color="000000" w:sz="6" w:val="single"/>
              <w:bottom w:color="000000" w:sz="6" w:val="single"/>
              <w:right w:color="000000" w:sz="6" w:val="single"/>
            </w:tcBorders>
            <w:shd w:fill="auto" w:val="clear"/>
            <w:vAlign w:val="center"/>
          </w:tcPr>
          <w:p w14:paraId="BB050000">
            <w:pPr>
              <w:widowControl w:val="1"/>
              <w:spacing w:line="240" w:lineRule="auto"/>
              <w:ind/>
              <w:jc w:val="center"/>
              <w:rPr>
                <w:sz w:val="22"/>
              </w:rPr>
            </w:pPr>
            <w:r>
              <w:rPr>
                <w:sz w:val="22"/>
              </w:rPr>
              <w:t>Как часто Вас беспокоят проблемы в полости рта?</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BC050000">
            <w:pPr>
              <w:widowControl w:val="1"/>
              <w:spacing w:line="240" w:lineRule="auto"/>
              <w:ind w:firstLine="0"/>
              <w:jc w:val="center"/>
              <w:rPr>
                <w:sz w:val="22"/>
              </w:rPr>
            </w:pPr>
            <w:r>
              <w:rPr>
                <w:sz w:val="22"/>
              </w:rPr>
              <w:t>Никогда</w:t>
            </w:r>
          </w:p>
          <w:p w14:paraId="BD050000">
            <w:pPr>
              <w:widowControl w:val="1"/>
              <w:spacing w:line="240" w:lineRule="auto"/>
              <w:ind w:firstLine="0"/>
              <w:jc w:val="center"/>
              <w:rPr>
                <w:sz w:val="22"/>
              </w:rPr>
            </w:pPr>
            <w:r>
              <w:rPr>
                <w:sz w:val="22"/>
              </w:rPr>
              <w:t>Крайне редко</w:t>
            </w:r>
          </w:p>
          <w:p w14:paraId="BE050000">
            <w:pPr>
              <w:widowControl w:val="1"/>
              <w:spacing w:line="240" w:lineRule="auto"/>
              <w:ind w:firstLine="0"/>
              <w:jc w:val="center"/>
              <w:rPr>
                <w:sz w:val="22"/>
              </w:rPr>
            </w:pPr>
            <w:r>
              <w:rPr>
                <w:sz w:val="22"/>
              </w:rPr>
              <w:t>Часто</w:t>
            </w:r>
          </w:p>
          <w:p w14:paraId="BF050000">
            <w:pPr>
              <w:widowControl w:val="1"/>
              <w:spacing w:line="240" w:lineRule="auto"/>
              <w:ind w:firstLine="0"/>
              <w:jc w:val="center"/>
              <w:rPr>
                <w:sz w:val="22"/>
              </w:rPr>
            </w:pPr>
            <w:r>
              <w:rPr>
                <w:sz w:val="22"/>
              </w:rPr>
              <w:t>Очень часто</w:t>
            </w:r>
          </w:p>
          <w:p w14:paraId="C0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C1050000">
            <w:pPr>
              <w:widowControl w:val="1"/>
              <w:spacing w:line="240" w:lineRule="auto"/>
              <w:ind w:firstLine="0"/>
              <w:jc w:val="center"/>
              <w:rPr>
                <w:sz w:val="22"/>
              </w:rPr>
            </w:pPr>
            <w:r>
              <w:rPr>
                <w:sz w:val="22"/>
              </w:rPr>
              <w:t>20</w:t>
            </w:r>
          </w:p>
        </w:tc>
        <w:tc>
          <w:tcPr>
            <w:tcW w:type="dxa" w:w="6829"/>
            <w:tcBorders>
              <w:top w:color="000000" w:sz="6" w:val="single"/>
              <w:left w:color="000000" w:sz="6" w:val="single"/>
              <w:bottom w:color="000000" w:sz="6" w:val="single"/>
              <w:right w:color="000000" w:sz="6" w:val="single"/>
            </w:tcBorders>
            <w:shd w:fill="auto" w:val="clear"/>
            <w:vAlign w:val="center"/>
          </w:tcPr>
          <w:p w14:paraId="C2050000">
            <w:pPr>
              <w:widowControl w:val="1"/>
              <w:spacing w:line="240" w:lineRule="auto"/>
              <w:ind/>
              <w:jc w:val="center"/>
              <w:rPr>
                <w:sz w:val="22"/>
              </w:rPr>
            </w:pPr>
            <w:r>
              <w:rPr>
                <w:sz w:val="22"/>
              </w:rPr>
              <w:t>Часто ли Вы испытываете психологический дискомфорт (стеснение)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C3050000">
            <w:pPr>
              <w:widowControl w:val="1"/>
              <w:spacing w:line="240" w:lineRule="auto"/>
              <w:ind w:firstLine="0"/>
              <w:jc w:val="center"/>
              <w:rPr>
                <w:sz w:val="22"/>
              </w:rPr>
            </w:pPr>
            <w:r>
              <w:rPr>
                <w:sz w:val="22"/>
              </w:rPr>
              <w:t>Никогда</w:t>
            </w:r>
          </w:p>
          <w:p w14:paraId="C4050000">
            <w:pPr>
              <w:widowControl w:val="1"/>
              <w:spacing w:line="240" w:lineRule="auto"/>
              <w:ind w:firstLine="0"/>
              <w:jc w:val="center"/>
              <w:rPr>
                <w:sz w:val="22"/>
              </w:rPr>
            </w:pPr>
            <w:r>
              <w:rPr>
                <w:sz w:val="22"/>
              </w:rPr>
              <w:t>Крайне редко</w:t>
            </w:r>
          </w:p>
          <w:p w14:paraId="C5050000">
            <w:pPr>
              <w:widowControl w:val="1"/>
              <w:spacing w:line="240" w:lineRule="auto"/>
              <w:ind w:firstLine="0"/>
              <w:jc w:val="center"/>
              <w:rPr>
                <w:sz w:val="22"/>
              </w:rPr>
            </w:pPr>
            <w:r>
              <w:rPr>
                <w:sz w:val="22"/>
              </w:rPr>
              <w:t>Часто</w:t>
            </w:r>
          </w:p>
          <w:p w14:paraId="C6050000">
            <w:pPr>
              <w:widowControl w:val="1"/>
              <w:spacing w:line="240" w:lineRule="auto"/>
              <w:ind w:firstLine="0"/>
              <w:jc w:val="center"/>
              <w:rPr>
                <w:sz w:val="22"/>
              </w:rPr>
            </w:pPr>
            <w:r>
              <w:rPr>
                <w:sz w:val="22"/>
              </w:rPr>
              <w:t>Очень часто</w:t>
            </w:r>
          </w:p>
          <w:p w14:paraId="C7050000">
            <w:pPr>
              <w:widowControl w:val="1"/>
              <w:spacing w:line="240" w:lineRule="auto"/>
              <w:ind w:firstLine="0"/>
              <w:jc w:val="center"/>
              <w:rPr>
                <w:sz w:val="22"/>
              </w:rPr>
            </w:pPr>
            <w:r>
              <w:rPr>
                <w:sz w:val="22"/>
              </w:rPr>
              <w:t>Постоянно</w:t>
            </w:r>
          </w:p>
        </w:tc>
      </w:tr>
      <w:tr>
        <w:trPr>
          <w:trHeight w:hRule="atLeast" w:val="1241"/>
        </w:trPr>
        <w:tc>
          <w:tcPr>
            <w:tcW w:type="dxa" w:w="799"/>
            <w:tcBorders>
              <w:top w:color="000000" w:sz="6" w:val="single"/>
              <w:left w:sz="4" w:themeColor="accent5" w:val="double"/>
              <w:bottom w:color="000000" w:sz="6" w:val="single"/>
              <w:right w:color="000000" w:sz="6" w:val="single"/>
            </w:tcBorders>
            <w:shd w:fill="auto" w:val="clear"/>
            <w:vAlign w:val="center"/>
          </w:tcPr>
          <w:p w14:paraId="C8050000">
            <w:pPr>
              <w:widowControl w:val="1"/>
              <w:spacing w:line="240" w:lineRule="auto"/>
              <w:ind w:firstLine="0"/>
              <w:jc w:val="center"/>
              <w:rPr>
                <w:sz w:val="22"/>
              </w:rPr>
            </w:pPr>
            <w:r>
              <w:rPr>
                <w:sz w:val="22"/>
              </w:rPr>
              <w:t>21</w:t>
            </w:r>
          </w:p>
        </w:tc>
        <w:tc>
          <w:tcPr>
            <w:tcW w:type="dxa" w:w="6829"/>
            <w:tcBorders>
              <w:top w:color="000000" w:sz="6" w:val="single"/>
              <w:left w:color="000000" w:sz="6" w:val="single"/>
              <w:bottom w:color="000000" w:sz="6" w:val="single"/>
              <w:right w:color="000000" w:sz="6" w:val="single"/>
            </w:tcBorders>
            <w:shd w:fill="auto" w:val="clear"/>
            <w:vAlign w:val="center"/>
          </w:tcPr>
          <w:p w14:paraId="C9050000">
            <w:pPr>
              <w:widowControl w:val="1"/>
              <w:spacing w:line="240" w:lineRule="auto"/>
              <w:ind/>
              <w:jc w:val="center"/>
              <w:rPr>
                <w:sz w:val="22"/>
              </w:rPr>
            </w:pPr>
            <w:r>
              <w:rPr>
                <w:sz w:val="22"/>
              </w:rPr>
              <w:t>Часто ли Вы чувствуете себя несчастным (ой) из-за проблем с зубами?</w:t>
            </w:r>
          </w:p>
        </w:tc>
        <w:tc>
          <w:tcPr>
            <w:tcW w:type="dxa" w:w="1727"/>
            <w:tcBorders>
              <w:top w:color="000000" w:sz="6" w:val="single"/>
              <w:left w:color="000000" w:sz="6" w:val="single"/>
              <w:bottom w:color="000000" w:sz="6" w:val="single"/>
              <w:right w:sz="4" w:themeColor="accent5" w:val="double"/>
            </w:tcBorders>
            <w:shd w:fill="auto" w:val="clear"/>
            <w:vAlign w:val="center"/>
          </w:tcPr>
          <w:p w14:paraId="CA050000">
            <w:pPr>
              <w:widowControl w:val="1"/>
              <w:spacing w:line="240" w:lineRule="auto"/>
              <w:ind w:firstLine="0"/>
              <w:jc w:val="center"/>
              <w:rPr>
                <w:sz w:val="22"/>
              </w:rPr>
            </w:pPr>
            <w:r>
              <w:rPr>
                <w:sz w:val="22"/>
              </w:rPr>
              <w:t>Никогда</w:t>
            </w:r>
          </w:p>
          <w:p w14:paraId="CB050000">
            <w:pPr>
              <w:widowControl w:val="1"/>
              <w:spacing w:line="240" w:lineRule="auto"/>
              <w:ind w:firstLine="0"/>
              <w:jc w:val="center"/>
              <w:rPr>
                <w:sz w:val="22"/>
              </w:rPr>
            </w:pPr>
            <w:r>
              <w:rPr>
                <w:sz w:val="22"/>
              </w:rPr>
              <w:t>Крайне редко</w:t>
            </w:r>
          </w:p>
          <w:p w14:paraId="CC050000">
            <w:pPr>
              <w:widowControl w:val="1"/>
              <w:spacing w:line="240" w:lineRule="auto"/>
              <w:ind w:firstLine="0"/>
              <w:jc w:val="center"/>
              <w:rPr>
                <w:sz w:val="22"/>
              </w:rPr>
            </w:pPr>
            <w:r>
              <w:rPr>
                <w:sz w:val="22"/>
              </w:rPr>
              <w:t>Часто</w:t>
            </w:r>
          </w:p>
          <w:p w14:paraId="CD050000">
            <w:pPr>
              <w:widowControl w:val="1"/>
              <w:spacing w:line="240" w:lineRule="auto"/>
              <w:ind w:firstLine="0"/>
              <w:jc w:val="center"/>
              <w:rPr>
                <w:sz w:val="22"/>
              </w:rPr>
            </w:pPr>
            <w:r>
              <w:rPr>
                <w:sz w:val="22"/>
              </w:rPr>
              <w:t>Очень часто</w:t>
            </w:r>
          </w:p>
          <w:p w14:paraId="CE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CF050000">
            <w:pPr>
              <w:widowControl w:val="1"/>
              <w:spacing w:line="240" w:lineRule="auto"/>
              <w:ind w:firstLine="0"/>
              <w:jc w:val="center"/>
              <w:rPr>
                <w:sz w:val="22"/>
              </w:rPr>
            </w:pPr>
            <w:r>
              <w:rPr>
                <w:sz w:val="22"/>
              </w:rPr>
              <w:t>22</w:t>
            </w:r>
          </w:p>
        </w:tc>
        <w:tc>
          <w:tcPr>
            <w:tcW w:type="dxa" w:w="6829"/>
            <w:tcBorders>
              <w:top w:color="000000" w:sz="6" w:val="single"/>
              <w:left w:color="000000" w:sz="6" w:val="single"/>
              <w:bottom w:color="000000" w:sz="6" w:val="single"/>
              <w:right w:color="000000" w:sz="6" w:val="single"/>
            </w:tcBorders>
            <w:shd w:fill="auto" w:val="clear"/>
            <w:vAlign w:val="center"/>
          </w:tcPr>
          <w:p w14:paraId="D0050000">
            <w:pPr>
              <w:widowControl w:val="1"/>
              <w:spacing w:line="240" w:lineRule="auto"/>
              <w:ind/>
              <w:jc w:val="center"/>
              <w:rPr>
                <w:sz w:val="22"/>
              </w:rPr>
            </w:pPr>
            <w:r>
              <w:rPr>
                <w:sz w:val="22"/>
              </w:rPr>
              <w:t>Часто ли Вы испытываете дискомфорт в связи со своим внешним видом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D1050000">
            <w:pPr>
              <w:widowControl w:val="1"/>
              <w:spacing w:line="240" w:lineRule="auto"/>
              <w:ind w:firstLine="0"/>
              <w:jc w:val="center"/>
              <w:rPr>
                <w:sz w:val="22"/>
              </w:rPr>
            </w:pPr>
            <w:r>
              <w:rPr>
                <w:sz w:val="22"/>
              </w:rPr>
              <w:t>Никогда</w:t>
            </w:r>
          </w:p>
          <w:p w14:paraId="D2050000">
            <w:pPr>
              <w:widowControl w:val="1"/>
              <w:spacing w:line="240" w:lineRule="auto"/>
              <w:ind w:firstLine="0"/>
              <w:jc w:val="center"/>
              <w:rPr>
                <w:sz w:val="22"/>
              </w:rPr>
            </w:pPr>
            <w:r>
              <w:rPr>
                <w:sz w:val="22"/>
              </w:rPr>
              <w:t>Крайне редко</w:t>
            </w:r>
          </w:p>
          <w:p w14:paraId="D3050000">
            <w:pPr>
              <w:widowControl w:val="1"/>
              <w:spacing w:line="240" w:lineRule="auto"/>
              <w:ind w:firstLine="0"/>
              <w:jc w:val="center"/>
              <w:rPr>
                <w:sz w:val="22"/>
              </w:rPr>
            </w:pPr>
            <w:r>
              <w:rPr>
                <w:sz w:val="22"/>
              </w:rPr>
              <w:t>Часто</w:t>
            </w:r>
          </w:p>
          <w:p w14:paraId="D4050000">
            <w:pPr>
              <w:widowControl w:val="1"/>
              <w:spacing w:line="240" w:lineRule="auto"/>
              <w:ind w:firstLine="0"/>
              <w:jc w:val="center"/>
              <w:rPr>
                <w:sz w:val="22"/>
              </w:rPr>
            </w:pPr>
            <w:r>
              <w:rPr>
                <w:sz w:val="22"/>
              </w:rPr>
              <w:t>Очень часто</w:t>
            </w:r>
          </w:p>
          <w:p w14:paraId="D5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D6050000">
            <w:pPr>
              <w:widowControl w:val="1"/>
              <w:spacing w:line="240" w:lineRule="auto"/>
              <w:ind w:firstLine="0"/>
              <w:jc w:val="center"/>
              <w:rPr>
                <w:sz w:val="22"/>
              </w:rPr>
            </w:pPr>
            <w:r>
              <w:rPr>
                <w:sz w:val="22"/>
              </w:rPr>
              <w:t>23</w:t>
            </w:r>
          </w:p>
        </w:tc>
        <w:tc>
          <w:tcPr>
            <w:tcW w:type="dxa" w:w="6829"/>
            <w:tcBorders>
              <w:top w:color="000000" w:sz="6" w:val="single"/>
              <w:left w:color="000000" w:sz="6" w:val="single"/>
              <w:bottom w:sz="4" w:themeColor="accent5" w:val="double"/>
              <w:right w:color="000000" w:sz="6" w:val="single"/>
            </w:tcBorders>
            <w:shd w:fill="auto" w:val="clear"/>
            <w:vAlign w:val="center"/>
          </w:tcPr>
          <w:p w14:paraId="D7050000">
            <w:pPr>
              <w:widowControl w:val="1"/>
              <w:spacing w:line="240" w:lineRule="auto"/>
              <w:ind/>
              <w:jc w:val="center"/>
              <w:rPr>
                <w:sz w:val="22"/>
              </w:rPr>
            </w:pPr>
            <w:r>
              <w:rPr>
                <w:sz w:val="22"/>
              </w:rPr>
              <w:t>Как часто Вы испытываете внутреннее напряжение из-за проблем полости рта?</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D8050000">
            <w:pPr>
              <w:widowControl w:val="1"/>
              <w:spacing w:line="240" w:lineRule="auto"/>
              <w:ind w:firstLine="0"/>
              <w:jc w:val="center"/>
              <w:rPr>
                <w:sz w:val="22"/>
              </w:rPr>
            </w:pPr>
            <w:r>
              <w:rPr>
                <w:sz w:val="22"/>
              </w:rPr>
              <w:t>Никогда</w:t>
            </w:r>
          </w:p>
          <w:p w14:paraId="D9050000">
            <w:pPr>
              <w:widowControl w:val="1"/>
              <w:spacing w:line="240" w:lineRule="auto"/>
              <w:ind w:firstLine="0"/>
              <w:jc w:val="center"/>
              <w:rPr>
                <w:sz w:val="22"/>
              </w:rPr>
            </w:pPr>
            <w:r>
              <w:rPr>
                <w:sz w:val="22"/>
              </w:rPr>
              <w:t>Крайне редко</w:t>
            </w:r>
          </w:p>
          <w:p w14:paraId="DA050000">
            <w:pPr>
              <w:widowControl w:val="1"/>
              <w:spacing w:line="240" w:lineRule="auto"/>
              <w:ind w:firstLine="0"/>
              <w:jc w:val="center"/>
              <w:rPr>
                <w:sz w:val="22"/>
              </w:rPr>
            </w:pPr>
            <w:r>
              <w:rPr>
                <w:sz w:val="22"/>
              </w:rPr>
              <w:t>Часто</w:t>
            </w:r>
          </w:p>
          <w:p w14:paraId="DB050000">
            <w:pPr>
              <w:widowControl w:val="1"/>
              <w:spacing w:line="240" w:lineRule="auto"/>
              <w:ind w:firstLine="0"/>
              <w:jc w:val="center"/>
              <w:rPr>
                <w:sz w:val="22"/>
              </w:rPr>
            </w:pPr>
            <w:r>
              <w:rPr>
                <w:sz w:val="22"/>
              </w:rPr>
              <w:t>Очень часто</w:t>
            </w:r>
          </w:p>
          <w:p w14:paraId="DC050000">
            <w:pPr>
              <w:widowControl w:val="1"/>
              <w:spacing w:line="240" w:lineRule="auto"/>
              <w:ind w:firstLine="0"/>
              <w:jc w:val="center"/>
              <w:rPr>
                <w:sz w:val="22"/>
              </w:rPr>
            </w:pPr>
            <w:r>
              <w:rPr>
                <w:sz w:val="22"/>
              </w:rPr>
              <w:t>Постоянно</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DD050000">
            <w:pPr>
              <w:widowControl w:val="1"/>
              <w:spacing w:line="240" w:lineRule="auto"/>
              <w:ind w:firstLine="0"/>
              <w:jc w:val="center"/>
              <w:rPr>
                <w:color w:themeColor="accent5" w:val="4472C4"/>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DE050000">
            <w:pPr>
              <w:widowControl w:val="1"/>
              <w:spacing w:line="240" w:lineRule="auto"/>
              <w:ind/>
              <w:jc w:val="center"/>
              <w:rPr>
                <w:b w:val="1"/>
                <w:color w:themeColor="accent5" w:val="4472C4"/>
                <w:sz w:val="22"/>
              </w:rPr>
            </w:pPr>
            <w:r>
              <w:rPr>
                <w:b w:val="1"/>
                <w:color w:themeColor="accent5" w:val="4472C4"/>
                <w:sz w:val="22"/>
              </w:rPr>
              <w:t>Физические расстройства</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DF050000">
            <w:pPr>
              <w:widowControl w:val="1"/>
              <w:spacing w:line="240" w:lineRule="auto"/>
              <w:ind w:firstLine="0"/>
              <w:jc w:val="center"/>
              <w:rPr>
                <w:color w:themeColor="accent5" w:val="4472C4"/>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E0050000">
            <w:pPr>
              <w:widowControl w:val="1"/>
              <w:spacing w:line="240" w:lineRule="auto"/>
              <w:ind w:firstLine="0"/>
              <w:jc w:val="center"/>
              <w:rPr>
                <w:sz w:val="22"/>
              </w:rPr>
            </w:pPr>
            <w:r>
              <w:rPr>
                <w:sz w:val="22"/>
              </w:rPr>
              <w:t>24</w:t>
            </w:r>
          </w:p>
        </w:tc>
        <w:tc>
          <w:tcPr>
            <w:tcW w:type="dxa" w:w="6829"/>
            <w:tcBorders>
              <w:top w:sz="4" w:themeColor="accent5" w:val="double"/>
              <w:left w:color="000000" w:sz="6" w:val="single"/>
              <w:bottom w:color="000000" w:sz="6" w:val="single"/>
              <w:right w:color="000000" w:sz="6" w:val="single"/>
            </w:tcBorders>
            <w:shd w:fill="auto" w:val="clear"/>
            <w:vAlign w:val="center"/>
          </w:tcPr>
          <w:p w14:paraId="E1050000">
            <w:pPr>
              <w:widowControl w:val="1"/>
              <w:spacing w:line="240" w:lineRule="auto"/>
              <w:ind/>
              <w:jc w:val="center"/>
              <w:rPr>
                <w:sz w:val="22"/>
              </w:rPr>
            </w:pPr>
            <w:r>
              <w:rPr>
                <w:sz w:val="22"/>
              </w:rPr>
              <w:t>Как часто в связи с проблемами полости рта Вы отмечаете нарушение дикции?</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E2050000">
            <w:pPr>
              <w:widowControl w:val="1"/>
              <w:spacing w:line="240" w:lineRule="auto"/>
              <w:ind w:firstLine="0"/>
              <w:jc w:val="center"/>
              <w:rPr>
                <w:sz w:val="22"/>
              </w:rPr>
            </w:pPr>
            <w:r>
              <w:rPr>
                <w:sz w:val="22"/>
              </w:rPr>
              <w:t>Никогда</w:t>
            </w:r>
          </w:p>
          <w:p w14:paraId="E3050000">
            <w:pPr>
              <w:widowControl w:val="1"/>
              <w:spacing w:line="240" w:lineRule="auto"/>
              <w:ind w:firstLine="0"/>
              <w:jc w:val="center"/>
              <w:rPr>
                <w:sz w:val="22"/>
              </w:rPr>
            </w:pPr>
            <w:r>
              <w:rPr>
                <w:sz w:val="22"/>
              </w:rPr>
              <w:t>Крайне редко</w:t>
            </w:r>
          </w:p>
          <w:p w14:paraId="E4050000">
            <w:pPr>
              <w:widowControl w:val="1"/>
              <w:spacing w:line="240" w:lineRule="auto"/>
              <w:ind w:firstLine="0"/>
              <w:jc w:val="center"/>
              <w:rPr>
                <w:sz w:val="22"/>
              </w:rPr>
            </w:pPr>
            <w:r>
              <w:rPr>
                <w:sz w:val="22"/>
              </w:rPr>
              <w:t>Часто</w:t>
            </w:r>
          </w:p>
          <w:p w14:paraId="E5050000">
            <w:pPr>
              <w:widowControl w:val="1"/>
              <w:spacing w:line="240" w:lineRule="auto"/>
              <w:ind w:firstLine="0"/>
              <w:jc w:val="center"/>
              <w:rPr>
                <w:sz w:val="22"/>
              </w:rPr>
            </w:pPr>
            <w:r>
              <w:rPr>
                <w:sz w:val="22"/>
              </w:rPr>
              <w:t>Очень часто</w:t>
            </w:r>
          </w:p>
          <w:p w14:paraId="E6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E7050000">
            <w:pPr>
              <w:widowControl w:val="1"/>
              <w:spacing w:line="240" w:lineRule="auto"/>
              <w:ind w:firstLine="0"/>
              <w:jc w:val="center"/>
              <w:rPr>
                <w:sz w:val="22"/>
              </w:rPr>
            </w:pPr>
            <w:r>
              <w:rPr>
                <w:sz w:val="22"/>
              </w:rPr>
              <w:t>25</w:t>
            </w:r>
          </w:p>
        </w:tc>
        <w:tc>
          <w:tcPr>
            <w:tcW w:type="dxa" w:w="6829"/>
            <w:tcBorders>
              <w:top w:color="000000" w:sz="6" w:val="single"/>
              <w:left w:color="000000" w:sz="6" w:val="single"/>
              <w:bottom w:color="000000" w:sz="6" w:val="single"/>
              <w:right w:color="000000" w:sz="6" w:val="single"/>
            </w:tcBorders>
            <w:shd w:fill="auto" w:val="clear"/>
            <w:vAlign w:val="center"/>
          </w:tcPr>
          <w:p w14:paraId="E8050000">
            <w:pPr>
              <w:widowControl w:val="1"/>
              <w:spacing w:line="240" w:lineRule="auto"/>
              <w:ind/>
              <w:jc w:val="center"/>
              <w:rPr>
                <w:sz w:val="22"/>
              </w:rPr>
            </w:pPr>
            <w:r>
              <w:rPr>
                <w:sz w:val="22"/>
              </w:rPr>
              <w:t>Как часто в связи с проблемами полости рта у Вас нарушается процесс общения с другими людьми?</w:t>
            </w:r>
          </w:p>
        </w:tc>
        <w:tc>
          <w:tcPr>
            <w:tcW w:type="dxa" w:w="1727"/>
            <w:tcBorders>
              <w:top w:color="000000" w:sz="6" w:val="single"/>
              <w:left w:color="000000" w:sz="6" w:val="single"/>
              <w:bottom w:color="000000" w:sz="6" w:val="single"/>
              <w:right w:sz="4" w:themeColor="accent5" w:val="double"/>
            </w:tcBorders>
            <w:shd w:fill="auto" w:val="clear"/>
            <w:vAlign w:val="center"/>
          </w:tcPr>
          <w:p w14:paraId="E9050000">
            <w:pPr>
              <w:widowControl w:val="1"/>
              <w:spacing w:line="240" w:lineRule="auto"/>
              <w:ind w:firstLine="0"/>
              <w:jc w:val="center"/>
              <w:rPr>
                <w:sz w:val="22"/>
              </w:rPr>
            </w:pPr>
            <w:r>
              <w:rPr>
                <w:sz w:val="22"/>
              </w:rPr>
              <w:t>Никогда</w:t>
            </w:r>
          </w:p>
          <w:p w14:paraId="EA050000">
            <w:pPr>
              <w:widowControl w:val="1"/>
              <w:spacing w:line="240" w:lineRule="auto"/>
              <w:ind w:firstLine="0"/>
              <w:jc w:val="center"/>
              <w:rPr>
                <w:sz w:val="22"/>
              </w:rPr>
            </w:pPr>
            <w:r>
              <w:rPr>
                <w:sz w:val="22"/>
              </w:rPr>
              <w:t>Крайне редко</w:t>
            </w:r>
          </w:p>
          <w:p w14:paraId="EB050000">
            <w:pPr>
              <w:widowControl w:val="1"/>
              <w:spacing w:line="240" w:lineRule="auto"/>
              <w:ind w:firstLine="0"/>
              <w:jc w:val="center"/>
              <w:rPr>
                <w:sz w:val="22"/>
              </w:rPr>
            </w:pPr>
            <w:r>
              <w:rPr>
                <w:sz w:val="22"/>
              </w:rPr>
              <w:t>Часто</w:t>
            </w:r>
          </w:p>
          <w:p w14:paraId="EC050000">
            <w:pPr>
              <w:widowControl w:val="1"/>
              <w:spacing w:line="240" w:lineRule="auto"/>
              <w:ind w:firstLine="0"/>
              <w:jc w:val="center"/>
              <w:rPr>
                <w:sz w:val="22"/>
              </w:rPr>
            </w:pPr>
            <w:r>
              <w:rPr>
                <w:sz w:val="22"/>
              </w:rPr>
              <w:t>Очень часто</w:t>
            </w:r>
          </w:p>
          <w:p w14:paraId="ED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EE050000">
            <w:pPr>
              <w:widowControl w:val="1"/>
              <w:spacing w:line="240" w:lineRule="auto"/>
              <w:ind w:firstLine="0"/>
              <w:jc w:val="center"/>
              <w:rPr>
                <w:sz w:val="22"/>
              </w:rPr>
            </w:pPr>
            <w:r>
              <w:rPr>
                <w:sz w:val="22"/>
              </w:rPr>
              <w:t>26</w:t>
            </w:r>
          </w:p>
        </w:tc>
        <w:tc>
          <w:tcPr>
            <w:tcW w:type="dxa" w:w="6829"/>
            <w:tcBorders>
              <w:top w:color="000000" w:sz="6" w:val="single"/>
              <w:left w:color="000000" w:sz="6" w:val="single"/>
              <w:bottom w:color="000000" w:sz="6" w:val="single"/>
              <w:right w:color="000000" w:sz="6" w:val="single"/>
            </w:tcBorders>
            <w:shd w:fill="auto" w:val="clear"/>
            <w:vAlign w:val="center"/>
          </w:tcPr>
          <w:p w14:paraId="EF050000">
            <w:pPr>
              <w:widowControl w:val="1"/>
              <w:spacing w:line="240" w:lineRule="auto"/>
              <w:ind/>
              <w:jc w:val="center"/>
              <w:rPr>
                <w:sz w:val="22"/>
              </w:rPr>
            </w:pPr>
            <w:r>
              <w:rPr>
                <w:sz w:val="22"/>
              </w:rPr>
              <w:t>Чувствуете ли Вы, что Ваше вкусоощущение ухудшилось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F0050000">
            <w:pPr>
              <w:widowControl w:val="1"/>
              <w:spacing w:line="240" w:lineRule="auto"/>
              <w:ind w:firstLine="0"/>
              <w:jc w:val="center"/>
              <w:rPr>
                <w:sz w:val="22"/>
              </w:rPr>
            </w:pPr>
            <w:r>
              <w:rPr>
                <w:sz w:val="22"/>
              </w:rPr>
              <w:t>Никогда</w:t>
            </w:r>
          </w:p>
          <w:p w14:paraId="F1050000">
            <w:pPr>
              <w:widowControl w:val="1"/>
              <w:spacing w:line="240" w:lineRule="auto"/>
              <w:ind w:firstLine="0"/>
              <w:jc w:val="center"/>
              <w:rPr>
                <w:sz w:val="22"/>
              </w:rPr>
            </w:pPr>
            <w:r>
              <w:rPr>
                <w:sz w:val="22"/>
              </w:rPr>
              <w:t>Крайне редко</w:t>
            </w:r>
          </w:p>
          <w:p w14:paraId="F2050000">
            <w:pPr>
              <w:widowControl w:val="1"/>
              <w:spacing w:line="240" w:lineRule="auto"/>
              <w:ind w:firstLine="0"/>
              <w:jc w:val="center"/>
              <w:rPr>
                <w:sz w:val="22"/>
              </w:rPr>
            </w:pPr>
            <w:r>
              <w:rPr>
                <w:sz w:val="22"/>
              </w:rPr>
              <w:t>Часто</w:t>
            </w:r>
          </w:p>
          <w:p w14:paraId="F3050000">
            <w:pPr>
              <w:widowControl w:val="1"/>
              <w:spacing w:line="240" w:lineRule="auto"/>
              <w:ind w:firstLine="0"/>
              <w:jc w:val="center"/>
              <w:rPr>
                <w:sz w:val="22"/>
              </w:rPr>
            </w:pPr>
            <w:r>
              <w:rPr>
                <w:sz w:val="22"/>
              </w:rPr>
              <w:t>Очень часто</w:t>
            </w:r>
          </w:p>
          <w:p w14:paraId="F4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F5050000">
            <w:pPr>
              <w:widowControl w:val="1"/>
              <w:spacing w:line="240" w:lineRule="auto"/>
              <w:ind w:firstLine="0"/>
              <w:jc w:val="center"/>
              <w:rPr>
                <w:sz w:val="22"/>
              </w:rPr>
            </w:pPr>
            <w:r>
              <w:rPr>
                <w:sz w:val="22"/>
              </w:rPr>
              <w:t>27</w:t>
            </w:r>
          </w:p>
        </w:tc>
        <w:tc>
          <w:tcPr>
            <w:tcW w:type="dxa" w:w="6829"/>
            <w:tcBorders>
              <w:top w:color="000000" w:sz="6" w:val="single"/>
              <w:left w:color="000000" w:sz="6" w:val="single"/>
              <w:bottom w:color="000000" w:sz="6" w:val="single"/>
              <w:right w:color="000000" w:sz="6" w:val="single"/>
            </w:tcBorders>
            <w:shd w:fill="auto" w:val="clear"/>
            <w:vAlign w:val="center"/>
          </w:tcPr>
          <w:p w14:paraId="F6050000">
            <w:pPr>
              <w:widowControl w:val="1"/>
              <w:spacing w:line="240" w:lineRule="auto"/>
              <w:ind/>
              <w:jc w:val="center"/>
              <w:rPr>
                <w:sz w:val="22"/>
              </w:rPr>
            </w:pPr>
            <w:r>
              <w:rPr>
                <w:sz w:val="22"/>
              </w:rPr>
              <w:t>Бывает ли, что Вы не можете эффективно чистить зубы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F7050000">
            <w:pPr>
              <w:widowControl w:val="1"/>
              <w:spacing w:line="240" w:lineRule="auto"/>
              <w:ind w:firstLine="0"/>
              <w:jc w:val="center"/>
              <w:rPr>
                <w:sz w:val="22"/>
              </w:rPr>
            </w:pPr>
            <w:r>
              <w:rPr>
                <w:sz w:val="22"/>
              </w:rPr>
              <w:t>Никогда</w:t>
            </w:r>
          </w:p>
          <w:p w14:paraId="F8050000">
            <w:pPr>
              <w:widowControl w:val="1"/>
              <w:spacing w:line="240" w:lineRule="auto"/>
              <w:ind w:firstLine="0"/>
              <w:jc w:val="center"/>
              <w:rPr>
                <w:sz w:val="22"/>
              </w:rPr>
            </w:pPr>
            <w:r>
              <w:rPr>
                <w:sz w:val="22"/>
              </w:rPr>
              <w:t>Крайне редко</w:t>
            </w:r>
          </w:p>
          <w:p w14:paraId="F9050000">
            <w:pPr>
              <w:widowControl w:val="1"/>
              <w:spacing w:line="240" w:lineRule="auto"/>
              <w:ind w:firstLine="0"/>
              <w:jc w:val="center"/>
              <w:rPr>
                <w:sz w:val="22"/>
              </w:rPr>
            </w:pPr>
            <w:r>
              <w:rPr>
                <w:sz w:val="22"/>
              </w:rPr>
              <w:t>Часто</w:t>
            </w:r>
          </w:p>
          <w:p w14:paraId="FA050000">
            <w:pPr>
              <w:widowControl w:val="1"/>
              <w:spacing w:line="240" w:lineRule="auto"/>
              <w:ind w:firstLine="0"/>
              <w:jc w:val="center"/>
              <w:rPr>
                <w:sz w:val="22"/>
              </w:rPr>
            </w:pPr>
            <w:r>
              <w:rPr>
                <w:sz w:val="22"/>
              </w:rPr>
              <w:t>Очень часто</w:t>
            </w:r>
          </w:p>
          <w:p w14:paraId="FB05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FC050000">
            <w:pPr>
              <w:widowControl w:val="1"/>
              <w:spacing w:line="240" w:lineRule="auto"/>
              <w:ind w:firstLine="0"/>
              <w:jc w:val="center"/>
              <w:rPr>
                <w:sz w:val="22"/>
              </w:rPr>
            </w:pPr>
            <w:r>
              <w:rPr>
                <w:sz w:val="22"/>
              </w:rPr>
              <w:t>28</w:t>
            </w:r>
          </w:p>
        </w:tc>
        <w:tc>
          <w:tcPr>
            <w:tcW w:type="dxa" w:w="6829"/>
            <w:tcBorders>
              <w:top w:color="000000" w:sz="6" w:val="single"/>
              <w:left w:color="000000" w:sz="6" w:val="single"/>
              <w:bottom w:color="000000" w:sz="6" w:val="single"/>
              <w:right w:color="000000" w:sz="6" w:val="single"/>
            </w:tcBorders>
            <w:shd w:fill="auto" w:val="clear"/>
            <w:vAlign w:val="center"/>
          </w:tcPr>
          <w:p w14:paraId="FD050000">
            <w:pPr>
              <w:widowControl w:val="1"/>
              <w:spacing w:line="240" w:lineRule="auto"/>
              <w:ind/>
              <w:jc w:val="center"/>
              <w:rPr>
                <w:sz w:val="22"/>
              </w:rPr>
            </w:pPr>
            <w:r>
              <w:rPr>
                <w:sz w:val="22"/>
              </w:rPr>
              <w:t>Как часто проблемы полости рта ограничивают (делают невозможным) прием пищи?</w:t>
            </w:r>
          </w:p>
        </w:tc>
        <w:tc>
          <w:tcPr>
            <w:tcW w:type="dxa" w:w="1727"/>
            <w:tcBorders>
              <w:top w:color="000000" w:sz="6" w:val="single"/>
              <w:left w:color="000000" w:sz="6" w:val="single"/>
              <w:bottom w:color="000000" w:sz="6" w:val="single"/>
              <w:right w:sz="4" w:themeColor="accent5" w:val="double"/>
            </w:tcBorders>
            <w:shd w:fill="auto" w:val="clear"/>
            <w:vAlign w:val="center"/>
          </w:tcPr>
          <w:p w14:paraId="FE050000">
            <w:pPr>
              <w:widowControl w:val="1"/>
              <w:spacing w:line="240" w:lineRule="auto"/>
              <w:ind w:firstLine="0"/>
              <w:jc w:val="center"/>
              <w:rPr>
                <w:sz w:val="22"/>
              </w:rPr>
            </w:pPr>
            <w:r>
              <w:rPr>
                <w:sz w:val="22"/>
              </w:rPr>
              <w:t>Никогда</w:t>
            </w:r>
          </w:p>
          <w:p w14:paraId="FF050000">
            <w:pPr>
              <w:widowControl w:val="1"/>
              <w:spacing w:line="240" w:lineRule="auto"/>
              <w:ind w:firstLine="0"/>
              <w:jc w:val="center"/>
              <w:rPr>
                <w:sz w:val="22"/>
              </w:rPr>
            </w:pPr>
            <w:r>
              <w:rPr>
                <w:sz w:val="22"/>
              </w:rPr>
              <w:t>Крайне редко</w:t>
            </w:r>
          </w:p>
          <w:p w14:paraId="00060000">
            <w:pPr>
              <w:widowControl w:val="1"/>
              <w:spacing w:line="240" w:lineRule="auto"/>
              <w:ind w:firstLine="0"/>
              <w:jc w:val="center"/>
              <w:rPr>
                <w:sz w:val="22"/>
              </w:rPr>
            </w:pPr>
            <w:r>
              <w:rPr>
                <w:sz w:val="22"/>
              </w:rPr>
              <w:t>Часто</w:t>
            </w:r>
          </w:p>
          <w:p w14:paraId="01060000">
            <w:pPr>
              <w:widowControl w:val="1"/>
              <w:spacing w:line="240" w:lineRule="auto"/>
              <w:ind w:firstLine="0"/>
              <w:jc w:val="center"/>
              <w:rPr>
                <w:sz w:val="22"/>
              </w:rPr>
            </w:pPr>
            <w:r>
              <w:rPr>
                <w:sz w:val="22"/>
              </w:rPr>
              <w:t>Очень часто</w:t>
            </w:r>
          </w:p>
          <w:p w14:paraId="02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03060000">
            <w:pPr>
              <w:widowControl w:val="1"/>
              <w:spacing w:line="240" w:lineRule="auto"/>
              <w:ind w:firstLine="0"/>
              <w:jc w:val="center"/>
              <w:rPr>
                <w:sz w:val="22"/>
              </w:rPr>
            </w:pPr>
            <w:r>
              <w:rPr>
                <w:sz w:val="22"/>
              </w:rPr>
              <w:t>29</w:t>
            </w:r>
          </w:p>
        </w:tc>
        <w:tc>
          <w:tcPr>
            <w:tcW w:type="dxa" w:w="6829"/>
            <w:tcBorders>
              <w:top w:color="000000" w:sz="6" w:val="single"/>
              <w:left w:color="000000" w:sz="6" w:val="single"/>
              <w:bottom w:color="000000" w:sz="6" w:val="single"/>
              <w:right w:color="000000" w:sz="6" w:val="single"/>
            </w:tcBorders>
            <w:shd w:fill="auto" w:val="clear"/>
            <w:vAlign w:val="center"/>
          </w:tcPr>
          <w:p w14:paraId="04060000">
            <w:pPr>
              <w:widowControl w:val="1"/>
              <w:spacing w:line="240" w:lineRule="auto"/>
              <w:ind/>
              <w:jc w:val="center"/>
              <w:rPr>
                <w:sz w:val="22"/>
              </w:rPr>
            </w:pPr>
            <w:r>
              <w:rPr>
                <w:sz w:val="22"/>
              </w:rPr>
              <w:t>Как часто проблемы полости рта ограничивают Ваш привычный пищевой рацион?</w:t>
            </w:r>
          </w:p>
        </w:tc>
        <w:tc>
          <w:tcPr>
            <w:tcW w:type="dxa" w:w="1727"/>
            <w:tcBorders>
              <w:top w:color="000000" w:sz="6" w:val="single"/>
              <w:left w:color="000000" w:sz="6" w:val="single"/>
              <w:bottom w:color="000000" w:sz="6" w:val="single"/>
              <w:right w:sz="4" w:themeColor="accent5" w:val="double"/>
            </w:tcBorders>
            <w:shd w:fill="auto" w:val="clear"/>
            <w:vAlign w:val="center"/>
          </w:tcPr>
          <w:p w14:paraId="05060000">
            <w:pPr>
              <w:widowControl w:val="1"/>
              <w:spacing w:line="240" w:lineRule="auto"/>
              <w:ind w:firstLine="0"/>
              <w:jc w:val="center"/>
              <w:rPr>
                <w:sz w:val="22"/>
              </w:rPr>
            </w:pPr>
            <w:r>
              <w:rPr>
                <w:sz w:val="22"/>
              </w:rPr>
              <w:t>Никогда</w:t>
            </w:r>
          </w:p>
          <w:p w14:paraId="06060000">
            <w:pPr>
              <w:widowControl w:val="1"/>
              <w:spacing w:line="240" w:lineRule="auto"/>
              <w:ind w:firstLine="0"/>
              <w:jc w:val="center"/>
              <w:rPr>
                <w:sz w:val="22"/>
              </w:rPr>
            </w:pPr>
            <w:r>
              <w:rPr>
                <w:sz w:val="22"/>
              </w:rPr>
              <w:t>Крайне редко</w:t>
            </w:r>
          </w:p>
          <w:p w14:paraId="07060000">
            <w:pPr>
              <w:widowControl w:val="1"/>
              <w:spacing w:line="240" w:lineRule="auto"/>
              <w:ind w:firstLine="0"/>
              <w:jc w:val="center"/>
              <w:rPr>
                <w:sz w:val="22"/>
              </w:rPr>
            </w:pPr>
            <w:r>
              <w:rPr>
                <w:sz w:val="22"/>
              </w:rPr>
              <w:t>Часто</w:t>
            </w:r>
          </w:p>
          <w:p w14:paraId="08060000">
            <w:pPr>
              <w:widowControl w:val="1"/>
              <w:spacing w:line="240" w:lineRule="auto"/>
              <w:ind w:firstLine="0"/>
              <w:jc w:val="center"/>
              <w:rPr>
                <w:sz w:val="22"/>
              </w:rPr>
            </w:pPr>
            <w:r>
              <w:rPr>
                <w:sz w:val="22"/>
              </w:rPr>
              <w:t>Очень часто</w:t>
            </w:r>
          </w:p>
          <w:p w14:paraId="09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0A060000">
            <w:pPr>
              <w:widowControl w:val="1"/>
              <w:spacing w:line="240" w:lineRule="auto"/>
              <w:ind w:firstLine="0"/>
              <w:jc w:val="center"/>
              <w:rPr>
                <w:sz w:val="22"/>
              </w:rPr>
            </w:pPr>
            <w:r>
              <w:rPr>
                <w:sz w:val="22"/>
              </w:rPr>
              <w:t>30</w:t>
            </w:r>
          </w:p>
        </w:tc>
        <w:tc>
          <w:tcPr>
            <w:tcW w:type="dxa" w:w="6829"/>
            <w:tcBorders>
              <w:top w:color="000000" w:sz="6" w:val="single"/>
              <w:left w:color="000000" w:sz="6" w:val="single"/>
              <w:bottom w:color="000000" w:sz="6" w:val="single"/>
              <w:right w:color="000000" w:sz="6" w:val="single"/>
            </w:tcBorders>
            <w:shd w:fill="auto" w:val="clear"/>
            <w:vAlign w:val="center"/>
          </w:tcPr>
          <w:p w14:paraId="0B060000">
            <w:pPr>
              <w:widowControl w:val="1"/>
              <w:spacing w:line="240" w:lineRule="auto"/>
              <w:ind/>
              <w:jc w:val="center"/>
              <w:rPr>
                <w:sz w:val="22"/>
              </w:rPr>
            </w:pPr>
            <w:r>
              <w:rPr>
                <w:sz w:val="22"/>
              </w:rPr>
              <w:t>Бывает ли, что проблемы, связанные с зубными протезами, делают невозможным прием пищи?</w:t>
            </w:r>
          </w:p>
        </w:tc>
        <w:tc>
          <w:tcPr>
            <w:tcW w:type="dxa" w:w="1727"/>
            <w:tcBorders>
              <w:top w:color="000000" w:sz="6" w:val="single"/>
              <w:left w:color="000000" w:sz="6" w:val="single"/>
              <w:bottom w:color="000000" w:sz="6" w:val="single"/>
              <w:right w:sz="4" w:themeColor="accent5" w:val="double"/>
            </w:tcBorders>
            <w:shd w:fill="auto" w:val="clear"/>
            <w:vAlign w:val="center"/>
          </w:tcPr>
          <w:p w14:paraId="0C060000">
            <w:pPr>
              <w:widowControl w:val="1"/>
              <w:spacing w:line="240" w:lineRule="auto"/>
              <w:ind w:firstLine="0"/>
              <w:jc w:val="center"/>
              <w:rPr>
                <w:sz w:val="22"/>
              </w:rPr>
            </w:pPr>
            <w:r>
              <w:rPr>
                <w:sz w:val="22"/>
              </w:rPr>
              <w:t>Никогда</w:t>
            </w:r>
          </w:p>
          <w:p w14:paraId="0D060000">
            <w:pPr>
              <w:widowControl w:val="1"/>
              <w:spacing w:line="240" w:lineRule="auto"/>
              <w:ind w:firstLine="0"/>
              <w:jc w:val="center"/>
              <w:rPr>
                <w:sz w:val="22"/>
              </w:rPr>
            </w:pPr>
            <w:r>
              <w:rPr>
                <w:sz w:val="22"/>
              </w:rPr>
              <w:t>Крайне редко</w:t>
            </w:r>
          </w:p>
          <w:p w14:paraId="0E060000">
            <w:pPr>
              <w:widowControl w:val="1"/>
              <w:spacing w:line="240" w:lineRule="auto"/>
              <w:ind w:firstLine="0"/>
              <w:jc w:val="center"/>
              <w:rPr>
                <w:sz w:val="22"/>
              </w:rPr>
            </w:pPr>
            <w:r>
              <w:rPr>
                <w:sz w:val="22"/>
              </w:rPr>
              <w:t>Часто</w:t>
            </w:r>
          </w:p>
          <w:p w14:paraId="0F060000">
            <w:pPr>
              <w:widowControl w:val="1"/>
              <w:spacing w:line="240" w:lineRule="auto"/>
              <w:ind w:firstLine="0"/>
              <w:jc w:val="center"/>
              <w:rPr>
                <w:sz w:val="22"/>
              </w:rPr>
            </w:pPr>
            <w:r>
              <w:rPr>
                <w:sz w:val="22"/>
              </w:rPr>
              <w:t>Очень часто</w:t>
            </w:r>
          </w:p>
          <w:p w14:paraId="10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11060000">
            <w:pPr>
              <w:widowControl w:val="1"/>
              <w:spacing w:line="240" w:lineRule="auto"/>
              <w:ind w:firstLine="0"/>
              <w:jc w:val="center"/>
              <w:rPr>
                <w:sz w:val="22"/>
              </w:rPr>
            </w:pPr>
            <w:r>
              <w:rPr>
                <w:sz w:val="22"/>
              </w:rPr>
              <w:t>31</w:t>
            </w:r>
          </w:p>
        </w:tc>
        <w:tc>
          <w:tcPr>
            <w:tcW w:type="dxa" w:w="6829"/>
            <w:tcBorders>
              <w:top w:color="000000" w:sz="6" w:val="single"/>
              <w:left w:color="000000" w:sz="6" w:val="single"/>
              <w:bottom w:color="000000" w:sz="6" w:val="single"/>
              <w:right w:color="000000" w:sz="6" w:val="single"/>
            </w:tcBorders>
            <w:shd w:fill="auto" w:val="clear"/>
            <w:vAlign w:val="center"/>
          </w:tcPr>
          <w:p w14:paraId="12060000">
            <w:pPr>
              <w:widowControl w:val="1"/>
              <w:spacing w:line="240" w:lineRule="auto"/>
              <w:ind/>
              <w:jc w:val="center"/>
              <w:rPr>
                <w:sz w:val="22"/>
              </w:rPr>
            </w:pPr>
            <w:r>
              <w:rPr>
                <w:sz w:val="22"/>
              </w:rPr>
              <w:t>Бывает ли, что в связи с проблемами полости рта Вы избегаете улыбки?</w:t>
            </w:r>
          </w:p>
        </w:tc>
        <w:tc>
          <w:tcPr>
            <w:tcW w:type="dxa" w:w="1727"/>
            <w:tcBorders>
              <w:top w:color="000000" w:sz="6" w:val="single"/>
              <w:left w:color="000000" w:sz="6" w:val="single"/>
              <w:bottom w:color="000000" w:sz="6" w:val="single"/>
              <w:right w:sz="4" w:themeColor="accent5" w:val="double"/>
            </w:tcBorders>
            <w:shd w:fill="auto" w:val="clear"/>
            <w:vAlign w:val="center"/>
          </w:tcPr>
          <w:p w14:paraId="13060000">
            <w:pPr>
              <w:widowControl w:val="1"/>
              <w:spacing w:line="240" w:lineRule="auto"/>
              <w:ind w:firstLine="0"/>
              <w:jc w:val="center"/>
              <w:rPr>
                <w:sz w:val="22"/>
              </w:rPr>
            </w:pPr>
            <w:r>
              <w:rPr>
                <w:sz w:val="22"/>
              </w:rPr>
              <w:t>Никогда</w:t>
            </w:r>
          </w:p>
          <w:p w14:paraId="14060000">
            <w:pPr>
              <w:widowControl w:val="1"/>
              <w:spacing w:line="240" w:lineRule="auto"/>
              <w:ind w:firstLine="0"/>
              <w:jc w:val="center"/>
              <w:rPr>
                <w:sz w:val="22"/>
              </w:rPr>
            </w:pPr>
            <w:r>
              <w:rPr>
                <w:sz w:val="22"/>
              </w:rPr>
              <w:t>Крайне редко</w:t>
            </w:r>
          </w:p>
          <w:p w14:paraId="15060000">
            <w:pPr>
              <w:widowControl w:val="1"/>
              <w:spacing w:line="240" w:lineRule="auto"/>
              <w:ind w:firstLine="0"/>
              <w:jc w:val="center"/>
              <w:rPr>
                <w:sz w:val="22"/>
              </w:rPr>
            </w:pPr>
            <w:r>
              <w:rPr>
                <w:sz w:val="22"/>
              </w:rPr>
              <w:t>Часто</w:t>
            </w:r>
          </w:p>
          <w:p w14:paraId="16060000">
            <w:pPr>
              <w:widowControl w:val="1"/>
              <w:spacing w:line="240" w:lineRule="auto"/>
              <w:ind w:firstLine="0"/>
              <w:jc w:val="center"/>
              <w:rPr>
                <w:sz w:val="22"/>
              </w:rPr>
            </w:pPr>
            <w:r>
              <w:rPr>
                <w:sz w:val="22"/>
              </w:rPr>
              <w:t>Очень часто</w:t>
            </w:r>
          </w:p>
          <w:p w14:paraId="17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18060000">
            <w:pPr>
              <w:widowControl w:val="1"/>
              <w:spacing w:line="240" w:lineRule="auto"/>
              <w:ind w:firstLine="0"/>
              <w:jc w:val="center"/>
              <w:rPr>
                <w:sz w:val="22"/>
              </w:rPr>
            </w:pPr>
            <w:r>
              <w:rPr>
                <w:sz w:val="22"/>
              </w:rPr>
              <w:t>32</w:t>
            </w:r>
          </w:p>
        </w:tc>
        <w:tc>
          <w:tcPr>
            <w:tcW w:type="dxa" w:w="6829"/>
            <w:tcBorders>
              <w:top w:color="000000" w:sz="6" w:val="single"/>
              <w:left w:color="000000" w:sz="6" w:val="single"/>
              <w:bottom w:sz="4" w:themeColor="accent5" w:val="double"/>
              <w:right w:color="000000" w:sz="6" w:val="single"/>
            </w:tcBorders>
            <w:shd w:fill="auto" w:val="clear"/>
            <w:vAlign w:val="center"/>
          </w:tcPr>
          <w:p w14:paraId="19060000">
            <w:pPr>
              <w:widowControl w:val="1"/>
              <w:spacing w:line="240" w:lineRule="auto"/>
              <w:ind/>
              <w:jc w:val="center"/>
              <w:rPr>
                <w:sz w:val="22"/>
              </w:rPr>
            </w:pPr>
            <w:r>
              <w:rPr>
                <w:sz w:val="22"/>
              </w:rPr>
              <w:t>Вы вынуждены прерывать прием пищи в связи с проблемами полости рта?</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1A060000">
            <w:pPr>
              <w:widowControl w:val="1"/>
              <w:spacing w:line="240" w:lineRule="auto"/>
              <w:ind w:firstLine="0"/>
              <w:jc w:val="center"/>
              <w:rPr>
                <w:sz w:val="22"/>
              </w:rPr>
            </w:pPr>
            <w:r>
              <w:rPr>
                <w:sz w:val="22"/>
              </w:rPr>
              <w:t>Никогда</w:t>
            </w:r>
          </w:p>
          <w:p w14:paraId="1B060000">
            <w:pPr>
              <w:widowControl w:val="1"/>
              <w:spacing w:line="240" w:lineRule="auto"/>
              <w:ind w:firstLine="0"/>
              <w:jc w:val="center"/>
              <w:rPr>
                <w:sz w:val="22"/>
              </w:rPr>
            </w:pPr>
            <w:r>
              <w:rPr>
                <w:sz w:val="22"/>
              </w:rPr>
              <w:t>Крайне редко</w:t>
            </w:r>
          </w:p>
          <w:p w14:paraId="1C060000">
            <w:pPr>
              <w:widowControl w:val="1"/>
              <w:spacing w:line="240" w:lineRule="auto"/>
              <w:ind w:firstLine="0"/>
              <w:jc w:val="center"/>
              <w:rPr>
                <w:sz w:val="22"/>
              </w:rPr>
            </w:pPr>
            <w:r>
              <w:rPr>
                <w:sz w:val="22"/>
              </w:rPr>
              <w:t>Часто</w:t>
            </w:r>
          </w:p>
          <w:p w14:paraId="1D060000">
            <w:pPr>
              <w:widowControl w:val="1"/>
              <w:spacing w:line="240" w:lineRule="auto"/>
              <w:ind w:firstLine="0"/>
              <w:jc w:val="center"/>
              <w:rPr>
                <w:sz w:val="22"/>
              </w:rPr>
            </w:pPr>
            <w:r>
              <w:rPr>
                <w:sz w:val="22"/>
              </w:rPr>
              <w:t>Очень часто</w:t>
            </w:r>
          </w:p>
          <w:p w14:paraId="1E060000">
            <w:pPr>
              <w:widowControl w:val="1"/>
              <w:spacing w:line="240" w:lineRule="auto"/>
              <w:ind w:firstLine="0"/>
              <w:jc w:val="center"/>
              <w:rPr>
                <w:sz w:val="22"/>
              </w:rPr>
            </w:pPr>
            <w:r>
              <w:rPr>
                <w:sz w:val="22"/>
              </w:rPr>
              <w:t>Постоянно</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1F060000">
            <w:pPr>
              <w:widowControl w:val="1"/>
              <w:spacing w:line="240" w:lineRule="auto"/>
              <w:ind w:firstLine="0"/>
              <w:jc w:val="center"/>
              <w:rPr>
                <w:b w:val="1"/>
                <w:color w:themeColor="accent5" w:val="4472C4"/>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20060000">
            <w:pPr>
              <w:widowControl w:val="1"/>
              <w:spacing w:line="240" w:lineRule="auto"/>
              <w:ind/>
              <w:jc w:val="center"/>
              <w:rPr>
                <w:b w:val="1"/>
                <w:color w:themeColor="accent5" w:val="4472C4"/>
                <w:sz w:val="22"/>
              </w:rPr>
            </w:pPr>
            <w:r>
              <w:rPr>
                <w:b w:val="1"/>
                <w:color w:themeColor="accent5" w:val="4472C4"/>
                <w:sz w:val="22"/>
              </w:rPr>
              <w:t>Психологические расстройства</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21060000">
            <w:pPr>
              <w:widowControl w:val="1"/>
              <w:spacing w:line="240" w:lineRule="auto"/>
              <w:ind w:firstLine="0"/>
              <w:jc w:val="center"/>
              <w:rPr>
                <w:b w:val="1"/>
                <w:color w:themeColor="accent5" w:val="4472C4"/>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22060000">
            <w:pPr>
              <w:widowControl w:val="1"/>
              <w:spacing w:line="240" w:lineRule="auto"/>
              <w:ind w:firstLine="0"/>
              <w:jc w:val="center"/>
              <w:rPr>
                <w:sz w:val="22"/>
              </w:rPr>
            </w:pPr>
            <w:r>
              <w:rPr>
                <w:sz w:val="22"/>
              </w:rPr>
              <w:t>33</w:t>
            </w:r>
          </w:p>
        </w:tc>
        <w:tc>
          <w:tcPr>
            <w:tcW w:type="dxa" w:w="6829"/>
            <w:tcBorders>
              <w:top w:sz="4" w:themeColor="accent5" w:val="double"/>
              <w:left w:color="000000" w:sz="6" w:val="single"/>
              <w:bottom w:color="000000" w:sz="6" w:val="single"/>
              <w:right w:color="000000" w:sz="6" w:val="single"/>
            </w:tcBorders>
            <w:shd w:fill="auto" w:val="clear"/>
            <w:vAlign w:val="center"/>
          </w:tcPr>
          <w:p w14:paraId="23060000">
            <w:pPr>
              <w:widowControl w:val="1"/>
              <w:spacing w:line="240" w:lineRule="auto"/>
              <w:ind/>
              <w:jc w:val="center"/>
              <w:rPr>
                <w:sz w:val="22"/>
              </w:rPr>
            </w:pPr>
            <w:r>
              <w:rPr>
                <w:sz w:val="22"/>
              </w:rPr>
              <w:t xml:space="preserve">Случается ли, что в связи с проблемами полости рта нарушается (прерывается) Ваш сон? </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24060000">
            <w:pPr>
              <w:widowControl w:val="1"/>
              <w:spacing w:line="240" w:lineRule="auto"/>
              <w:ind w:firstLine="0"/>
              <w:jc w:val="center"/>
              <w:rPr>
                <w:sz w:val="22"/>
              </w:rPr>
            </w:pPr>
            <w:r>
              <w:rPr>
                <w:sz w:val="22"/>
              </w:rPr>
              <w:t>Никогда</w:t>
            </w:r>
          </w:p>
          <w:p w14:paraId="25060000">
            <w:pPr>
              <w:widowControl w:val="1"/>
              <w:spacing w:line="240" w:lineRule="auto"/>
              <w:ind w:firstLine="0"/>
              <w:jc w:val="center"/>
              <w:rPr>
                <w:sz w:val="22"/>
              </w:rPr>
            </w:pPr>
            <w:r>
              <w:rPr>
                <w:sz w:val="22"/>
              </w:rPr>
              <w:t>Крайне редко</w:t>
            </w:r>
          </w:p>
          <w:p w14:paraId="26060000">
            <w:pPr>
              <w:widowControl w:val="1"/>
              <w:spacing w:line="240" w:lineRule="auto"/>
              <w:ind w:firstLine="0"/>
              <w:jc w:val="center"/>
              <w:rPr>
                <w:sz w:val="22"/>
              </w:rPr>
            </w:pPr>
            <w:r>
              <w:rPr>
                <w:sz w:val="22"/>
              </w:rPr>
              <w:t>Часто</w:t>
            </w:r>
          </w:p>
          <w:p w14:paraId="27060000">
            <w:pPr>
              <w:widowControl w:val="1"/>
              <w:spacing w:line="240" w:lineRule="auto"/>
              <w:ind w:firstLine="0"/>
              <w:jc w:val="center"/>
              <w:rPr>
                <w:sz w:val="22"/>
              </w:rPr>
            </w:pPr>
            <w:r>
              <w:rPr>
                <w:sz w:val="22"/>
              </w:rPr>
              <w:t>Очень часто</w:t>
            </w:r>
          </w:p>
          <w:p w14:paraId="28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29060000">
            <w:pPr>
              <w:widowControl w:val="1"/>
              <w:spacing w:line="240" w:lineRule="auto"/>
              <w:ind w:firstLine="0"/>
              <w:jc w:val="center"/>
              <w:rPr>
                <w:sz w:val="22"/>
              </w:rPr>
            </w:pPr>
            <w:r>
              <w:rPr>
                <w:sz w:val="22"/>
              </w:rPr>
              <w:t>34</w:t>
            </w:r>
          </w:p>
        </w:tc>
        <w:tc>
          <w:tcPr>
            <w:tcW w:type="dxa" w:w="6829"/>
            <w:tcBorders>
              <w:top w:color="000000" w:sz="6" w:val="single"/>
              <w:left w:color="000000" w:sz="6" w:val="single"/>
              <w:bottom w:color="000000" w:sz="6" w:val="single"/>
              <w:right w:color="000000" w:sz="6" w:val="single"/>
            </w:tcBorders>
            <w:shd w:fill="auto" w:val="clear"/>
            <w:vAlign w:val="center"/>
          </w:tcPr>
          <w:p w14:paraId="2A060000">
            <w:pPr>
              <w:widowControl w:val="1"/>
              <w:spacing w:line="240" w:lineRule="auto"/>
              <w:ind/>
              <w:jc w:val="center"/>
              <w:rPr>
                <w:sz w:val="22"/>
              </w:rPr>
            </w:pPr>
            <w:r>
              <w:rPr>
                <w:sz w:val="22"/>
              </w:rPr>
              <w:t>Огорчают ли Вас проблемы, связанные с зубами, слизистой полости рта или ношением протезов?</w:t>
            </w:r>
          </w:p>
        </w:tc>
        <w:tc>
          <w:tcPr>
            <w:tcW w:type="dxa" w:w="1727"/>
            <w:tcBorders>
              <w:top w:color="000000" w:sz="6" w:val="single"/>
              <w:left w:color="000000" w:sz="6" w:val="single"/>
              <w:bottom w:color="000000" w:sz="6" w:val="single"/>
              <w:right w:sz="4" w:themeColor="accent5" w:val="double"/>
            </w:tcBorders>
            <w:shd w:fill="auto" w:val="clear"/>
            <w:vAlign w:val="center"/>
          </w:tcPr>
          <w:p w14:paraId="2B060000">
            <w:pPr>
              <w:widowControl w:val="1"/>
              <w:spacing w:line="240" w:lineRule="auto"/>
              <w:ind w:firstLine="0"/>
              <w:jc w:val="center"/>
              <w:rPr>
                <w:sz w:val="22"/>
              </w:rPr>
            </w:pPr>
            <w:r>
              <w:rPr>
                <w:sz w:val="22"/>
              </w:rPr>
              <w:t>Никогда</w:t>
            </w:r>
          </w:p>
          <w:p w14:paraId="2C060000">
            <w:pPr>
              <w:widowControl w:val="1"/>
              <w:spacing w:line="240" w:lineRule="auto"/>
              <w:ind w:firstLine="0"/>
              <w:jc w:val="center"/>
              <w:rPr>
                <w:sz w:val="22"/>
              </w:rPr>
            </w:pPr>
            <w:r>
              <w:rPr>
                <w:sz w:val="22"/>
              </w:rPr>
              <w:t>Крайне редко</w:t>
            </w:r>
          </w:p>
          <w:p w14:paraId="2D060000">
            <w:pPr>
              <w:widowControl w:val="1"/>
              <w:spacing w:line="240" w:lineRule="auto"/>
              <w:ind w:firstLine="0"/>
              <w:jc w:val="center"/>
              <w:rPr>
                <w:sz w:val="22"/>
              </w:rPr>
            </w:pPr>
            <w:r>
              <w:rPr>
                <w:sz w:val="22"/>
              </w:rPr>
              <w:t>Часто</w:t>
            </w:r>
          </w:p>
          <w:p w14:paraId="2E060000">
            <w:pPr>
              <w:widowControl w:val="1"/>
              <w:spacing w:line="240" w:lineRule="auto"/>
              <w:ind w:firstLine="0"/>
              <w:jc w:val="center"/>
              <w:rPr>
                <w:sz w:val="22"/>
              </w:rPr>
            </w:pPr>
            <w:r>
              <w:rPr>
                <w:sz w:val="22"/>
              </w:rPr>
              <w:t>Очень часто</w:t>
            </w:r>
          </w:p>
          <w:p w14:paraId="2F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30060000">
            <w:pPr>
              <w:widowControl w:val="1"/>
              <w:spacing w:line="240" w:lineRule="auto"/>
              <w:ind w:firstLine="0"/>
              <w:jc w:val="center"/>
              <w:rPr>
                <w:sz w:val="22"/>
              </w:rPr>
            </w:pPr>
            <w:r>
              <w:rPr>
                <w:sz w:val="22"/>
              </w:rPr>
              <w:t>35</w:t>
            </w:r>
          </w:p>
        </w:tc>
        <w:tc>
          <w:tcPr>
            <w:tcW w:type="dxa" w:w="6829"/>
            <w:tcBorders>
              <w:top w:color="000000" w:sz="6" w:val="single"/>
              <w:left w:color="000000" w:sz="6" w:val="single"/>
              <w:bottom w:color="000000" w:sz="6" w:val="single"/>
              <w:right w:color="000000" w:sz="6" w:val="single"/>
            </w:tcBorders>
            <w:shd w:fill="auto" w:val="clear"/>
            <w:vAlign w:val="center"/>
          </w:tcPr>
          <w:p w14:paraId="31060000">
            <w:pPr>
              <w:widowControl w:val="1"/>
              <w:spacing w:line="240" w:lineRule="auto"/>
              <w:ind/>
              <w:jc w:val="center"/>
              <w:rPr>
                <w:sz w:val="22"/>
              </w:rPr>
            </w:pPr>
            <w:r>
              <w:rPr>
                <w:sz w:val="22"/>
              </w:rPr>
              <w:t>Бывает ли для Вас трудным расслабиться (отдохнуть)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32060000">
            <w:pPr>
              <w:widowControl w:val="1"/>
              <w:spacing w:line="240" w:lineRule="auto"/>
              <w:ind w:firstLine="0"/>
              <w:jc w:val="center"/>
              <w:rPr>
                <w:sz w:val="22"/>
              </w:rPr>
            </w:pPr>
            <w:r>
              <w:rPr>
                <w:sz w:val="22"/>
              </w:rPr>
              <w:t>Никогда</w:t>
            </w:r>
          </w:p>
          <w:p w14:paraId="33060000">
            <w:pPr>
              <w:widowControl w:val="1"/>
              <w:spacing w:line="240" w:lineRule="auto"/>
              <w:ind w:firstLine="0"/>
              <w:jc w:val="center"/>
              <w:rPr>
                <w:sz w:val="22"/>
              </w:rPr>
            </w:pPr>
            <w:r>
              <w:rPr>
                <w:sz w:val="22"/>
              </w:rPr>
              <w:t>Крайне редко</w:t>
            </w:r>
          </w:p>
          <w:p w14:paraId="34060000">
            <w:pPr>
              <w:widowControl w:val="1"/>
              <w:spacing w:line="240" w:lineRule="auto"/>
              <w:ind w:firstLine="0"/>
              <w:jc w:val="center"/>
              <w:rPr>
                <w:sz w:val="22"/>
              </w:rPr>
            </w:pPr>
            <w:r>
              <w:rPr>
                <w:sz w:val="22"/>
              </w:rPr>
              <w:t>Часто</w:t>
            </w:r>
          </w:p>
          <w:p w14:paraId="35060000">
            <w:pPr>
              <w:widowControl w:val="1"/>
              <w:spacing w:line="240" w:lineRule="auto"/>
              <w:ind w:firstLine="0"/>
              <w:jc w:val="center"/>
              <w:rPr>
                <w:sz w:val="22"/>
              </w:rPr>
            </w:pPr>
            <w:r>
              <w:rPr>
                <w:sz w:val="22"/>
              </w:rPr>
              <w:t>Очень часто</w:t>
            </w:r>
          </w:p>
          <w:p w14:paraId="36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37060000">
            <w:pPr>
              <w:widowControl w:val="1"/>
              <w:spacing w:line="240" w:lineRule="auto"/>
              <w:ind w:firstLine="0"/>
              <w:jc w:val="center"/>
              <w:rPr>
                <w:sz w:val="22"/>
              </w:rPr>
            </w:pPr>
            <w:r>
              <w:rPr>
                <w:sz w:val="22"/>
              </w:rPr>
              <w:t>36</w:t>
            </w:r>
          </w:p>
        </w:tc>
        <w:tc>
          <w:tcPr>
            <w:tcW w:type="dxa" w:w="6829"/>
            <w:tcBorders>
              <w:top w:color="000000" w:sz="6" w:val="single"/>
              <w:left w:color="000000" w:sz="6" w:val="single"/>
              <w:bottom w:color="000000" w:sz="6" w:val="single"/>
              <w:right w:color="000000" w:sz="6" w:val="single"/>
            </w:tcBorders>
            <w:shd w:fill="auto" w:val="clear"/>
            <w:vAlign w:val="center"/>
          </w:tcPr>
          <w:p w14:paraId="38060000">
            <w:pPr>
              <w:widowControl w:val="1"/>
              <w:spacing w:line="240" w:lineRule="auto"/>
              <w:ind/>
              <w:jc w:val="center"/>
              <w:rPr>
                <w:sz w:val="22"/>
              </w:rPr>
            </w:pPr>
            <w:r>
              <w:rPr>
                <w:sz w:val="22"/>
              </w:rPr>
              <w:t>Случается ли, что в связи с проблемами полости рта Вы впадаете в депрессию?</w:t>
            </w:r>
          </w:p>
        </w:tc>
        <w:tc>
          <w:tcPr>
            <w:tcW w:type="dxa" w:w="1727"/>
            <w:tcBorders>
              <w:top w:color="000000" w:sz="6" w:val="single"/>
              <w:left w:color="000000" w:sz="6" w:val="single"/>
              <w:bottom w:color="000000" w:sz="6" w:val="single"/>
              <w:right w:sz="4" w:themeColor="accent5" w:val="double"/>
            </w:tcBorders>
            <w:shd w:fill="auto" w:val="clear"/>
            <w:vAlign w:val="center"/>
          </w:tcPr>
          <w:p w14:paraId="39060000">
            <w:pPr>
              <w:widowControl w:val="1"/>
              <w:spacing w:line="240" w:lineRule="auto"/>
              <w:ind w:firstLine="0"/>
              <w:jc w:val="center"/>
              <w:rPr>
                <w:sz w:val="22"/>
              </w:rPr>
            </w:pPr>
            <w:r>
              <w:rPr>
                <w:sz w:val="22"/>
              </w:rPr>
              <w:t>Никогда</w:t>
            </w:r>
          </w:p>
          <w:p w14:paraId="3A060000">
            <w:pPr>
              <w:widowControl w:val="1"/>
              <w:spacing w:line="240" w:lineRule="auto"/>
              <w:ind w:firstLine="0"/>
              <w:jc w:val="center"/>
              <w:rPr>
                <w:sz w:val="22"/>
              </w:rPr>
            </w:pPr>
            <w:r>
              <w:rPr>
                <w:sz w:val="22"/>
              </w:rPr>
              <w:t>Крайне редко</w:t>
            </w:r>
          </w:p>
          <w:p w14:paraId="3B060000">
            <w:pPr>
              <w:widowControl w:val="1"/>
              <w:spacing w:line="240" w:lineRule="auto"/>
              <w:ind w:firstLine="0"/>
              <w:jc w:val="center"/>
              <w:rPr>
                <w:sz w:val="22"/>
              </w:rPr>
            </w:pPr>
            <w:r>
              <w:rPr>
                <w:sz w:val="22"/>
              </w:rPr>
              <w:t>Часто</w:t>
            </w:r>
          </w:p>
          <w:p w14:paraId="3C060000">
            <w:pPr>
              <w:widowControl w:val="1"/>
              <w:spacing w:line="240" w:lineRule="auto"/>
              <w:ind w:firstLine="0"/>
              <w:jc w:val="center"/>
              <w:rPr>
                <w:sz w:val="22"/>
              </w:rPr>
            </w:pPr>
            <w:r>
              <w:rPr>
                <w:sz w:val="22"/>
              </w:rPr>
              <w:t>Очень часто</w:t>
            </w:r>
          </w:p>
          <w:p w14:paraId="3D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3E060000">
            <w:pPr>
              <w:widowControl w:val="1"/>
              <w:spacing w:line="240" w:lineRule="auto"/>
              <w:ind w:firstLine="0"/>
              <w:jc w:val="center"/>
              <w:rPr>
                <w:sz w:val="22"/>
              </w:rPr>
            </w:pPr>
            <w:r>
              <w:rPr>
                <w:sz w:val="22"/>
              </w:rPr>
              <w:t>37</w:t>
            </w:r>
          </w:p>
        </w:tc>
        <w:tc>
          <w:tcPr>
            <w:tcW w:type="dxa" w:w="6829"/>
            <w:tcBorders>
              <w:top w:color="000000" w:sz="6" w:val="single"/>
              <w:left w:color="000000" w:sz="6" w:val="single"/>
              <w:bottom w:color="000000" w:sz="6" w:val="single"/>
              <w:right w:color="000000" w:sz="6" w:val="single"/>
            </w:tcBorders>
            <w:shd w:fill="auto" w:val="clear"/>
            <w:vAlign w:val="center"/>
          </w:tcPr>
          <w:p w14:paraId="3F060000">
            <w:pPr>
              <w:widowControl w:val="1"/>
              <w:spacing w:line="240" w:lineRule="auto"/>
              <w:ind/>
              <w:jc w:val="center"/>
              <w:rPr>
                <w:sz w:val="22"/>
              </w:rPr>
            </w:pPr>
            <w:r>
              <w:rPr>
                <w:sz w:val="22"/>
              </w:rPr>
              <w:t>Могут ли проблемы полости рта ухудшить концентрацию Вашего внимания?</w:t>
            </w:r>
          </w:p>
        </w:tc>
        <w:tc>
          <w:tcPr>
            <w:tcW w:type="dxa" w:w="1727"/>
            <w:tcBorders>
              <w:top w:color="000000" w:sz="6" w:val="single"/>
              <w:left w:color="000000" w:sz="6" w:val="single"/>
              <w:bottom w:color="000000" w:sz="6" w:val="single"/>
              <w:right w:sz="4" w:themeColor="accent5" w:val="double"/>
            </w:tcBorders>
            <w:shd w:fill="auto" w:val="clear"/>
            <w:vAlign w:val="center"/>
          </w:tcPr>
          <w:p w14:paraId="40060000">
            <w:pPr>
              <w:widowControl w:val="1"/>
              <w:spacing w:line="240" w:lineRule="auto"/>
              <w:ind w:firstLine="0"/>
              <w:jc w:val="center"/>
              <w:rPr>
                <w:sz w:val="22"/>
              </w:rPr>
            </w:pPr>
            <w:r>
              <w:rPr>
                <w:sz w:val="22"/>
              </w:rPr>
              <w:t>Никогда</w:t>
            </w:r>
          </w:p>
          <w:p w14:paraId="41060000">
            <w:pPr>
              <w:widowControl w:val="1"/>
              <w:spacing w:line="240" w:lineRule="auto"/>
              <w:ind w:firstLine="0"/>
              <w:jc w:val="center"/>
              <w:rPr>
                <w:sz w:val="22"/>
              </w:rPr>
            </w:pPr>
            <w:r>
              <w:rPr>
                <w:sz w:val="22"/>
              </w:rPr>
              <w:t>Крайне редко</w:t>
            </w:r>
          </w:p>
          <w:p w14:paraId="42060000">
            <w:pPr>
              <w:widowControl w:val="1"/>
              <w:spacing w:line="240" w:lineRule="auto"/>
              <w:ind w:firstLine="0"/>
              <w:jc w:val="center"/>
              <w:rPr>
                <w:sz w:val="22"/>
              </w:rPr>
            </w:pPr>
            <w:r>
              <w:rPr>
                <w:sz w:val="22"/>
              </w:rPr>
              <w:t>Часто</w:t>
            </w:r>
          </w:p>
          <w:p w14:paraId="43060000">
            <w:pPr>
              <w:widowControl w:val="1"/>
              <w:spacing w:line="240" w:lineRule="auto"/>
              <w:ind w:firstLine="0"/>
              <w:jc w:val="center"/>
              <w:rPr>
                <w:sz w:val="22"/>
              </w:rPr>
            </w:pPr>
            <w:r>
              <w:rPr>
                <w:sz w:val="22"/>
              </w:rPr>
              <w:t>Очень часто</w:t>
            </w:r>
          </w:p>
          <w:p w14:paraId="44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45060000">
            <w:pPr>
              <w:widowControl w:val="1"/>
              <w:spacing w:line="240" w:lineRule="auto"/>
              <w:ind w:firstLine="0"/>
              <w:jc w:val="center"/>
              <w:rPr>
                <w:sz w:val="22"/>
              </w:rPr>
            </w:pPr>
            <w:r>
              <w:rPr>
                <w:sz w:val="22"/>
              </w:rPr>
              <w:t>38</w:t>
            </w:r>
          </w:p>
        </w:tc>
        <w:tc>
          <w:tcPr>
            <w:tcW w:type="dxa" w:w="6829"/>
            <w:tcBorders>
              <w:top w:color="000000" w:sz="6" w:val="single"/>
              <w:left w:color="000000" w:sz="6" w:val="single"/>
              <w:bottom w:sz="4" w:themeColor="accent5" w:val="double"/>
              <w:right w:color="000000" w:sz="6" w:val="single"/>
            </w:tcBorders>
            <w:shd w:fill="auto" w:val="clear"/>
            <w:vAlign w:val="center"/>
          </w:tcPr>
          <w:p w14:paraId="46060000">
            <w:pPr>
              <w:widowControl w:val="1"/>
              <w:spacing w:line="240" w:lineRule="auto"/>
              <w:ind/>
              <w:jc w:val="center"/>
              <w:rPr>
                <w:sz w:val="22"/>
              </w:rPr>
            </w:pPr>
            <w:r>
              <w:rPr>
                <w:sz w:val="22"/>
              </w:rPr>
              <w:t>Смущают ли Вас проблемы, связанные с зубами, слизистой полости рта или ношением протезов?</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47060000">
            <w:pPr>
              <w:widowControl w:val="1"/>
              <w:spacing w:line="240" w:lineRule="auto"/>
              <w:ind w:firstLine="0"/>
              <w:jc w:val="center"/>
              <w:rPr>
                <w:sz w:val="22"/>
              </w:rPr>
            </w:pPr>
            <w:r>
              <w:rPr>
                <w:sz w:val="22"/>
              </w:rPr>
              <w:t>Никогда</w:t>
            </w:r>
          </w:p>
          <w:p w14:paraId="48060000">
            <w:pPr>
              <w:widowControl w:val="1"/>
              <w:spacing w:line="240" w:lineRule="auto"/>
              <w:ind w:firstLine="0"/>
              <w:jc w:val="center"/>
              <w:rPr>
                <w:sz w:val="22"/>
              </w:rPr>
            </w:pPr>
            <w:r>
              <w:rPr>
                <w:sz w:val="22"/>
              </w:rPr>
              <w:t>Крайне редко</w:t>
            </w:r>
          </w:p>
          <w:p w14:paraId="49060000">
            <w:pPr>
              <w:widowControl w:val="1"/>
              <w:spacing w:line="240" w:lineRule="auto"/>
              <w:ind w:firstLine="0"/>
              <w:jc w:val="center"/>
              <w:rPr>
                <w:sz w:val="22"/>
              </w:rPr>
            </w:pPr>
            <w:r>
              <w:rPr>
                <w:sz w:val="22"/>
              </w:rPr>
              <w:t>Часто</w:t>
            </w:r>
          </w:p>
          <w:p w14:paraId="4A060000">
            <w:pPr>
              <w:widowControl w:val="1"/>
              <w:spacing w:line="240" w:lineRule="auto"/>
              <w:ind w:firstLine="0"/>
              <w:jc w:val="center"/>
              <w:rPr>
                <w:sz w:val="22"/>
              </w:rPr>
            </w:pPr>
            <w:r>
              <w:rPr>
                <w:sz w:val="22"/>
              </w:rPr>
              <w:t>Очень часто</w:t>
            </w:r>
          </w:p>
          <w:p w14:paraId="4B060000">
            <w:pPr>
              <w:widowControl w:val="1"/>
              <w:spacing w:line="240" w:lineRule="auto"/>
              <w:ind w:firstLine="0"/>
              <w:jc w:val="center"/>
              <w:rPr>
                <w:sz w:val="22"/>
              </w:rPr>
            </w:pPr>
            <w:r>
              <w:rPr>
                <w:sz w:val="22"/>
              </w:rPr>
              <w:t>Постоянно</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4C060000">
            <w:pPr>
              <w:widowControl w:val="1"/>
              <w:spacing w:line="240" w:lineRule="auto"/>
              <w:ind w:firstLine="0"/>
              <w:jc w:val="center"/>
              <w:rPr>
                <w:b w:val="1"/>
                <w:color w:themeColor="accent5" w:val="4472C4"/>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4D060000">
            <w:pPr>
              <w:widowControl w:val="1"/>
              <w:spacing w:line="240" w:lineRule="auto"/>
              <w:ind/>
              <w:jc w:val="center"/>
              <w:rPr>
                <w:b w:val="1"/>
                <w:color w:themeColor="accent5" w:val="4472C4"/>
                <w:sz w:val="22"/>
              </w:rPr>
            </w:pPr>
            <w:r>
              <w:rPr>
                <w:b w:val="1"/>
                <w:color w:themeColor="accent5" w:val="4472C4"/>
                <w:sz w:val="22"/>
              </w:rPr>
              <w:t>Социальная дезадаптация</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4E060000">
            <w:pPr>
              <w:widowControl w:val="1"/>
              <w:spacing w:line="240" w:lineRule="auto"/>
              <w:ind w:firstLine="0"/>
              <w:jc w:val="center"/>
              <w:rPr>
                <w:b w:val="1"/>
                <w:color w:themeColor="accent5" w:val="4472C4"/>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4F060000">
            <w:pPr>
              <w:widowControl w:val="1"/>
              <w:spacing w:line="240" w:lineRule="auto"/>
              <w:ind w:firstLine="0"/>
              <w:jc w:val="center"/>
              <w:rPr>
                <w:sz w:val="22"/>
              </w:rPr>
            </w:pPr>
            <w:r>
              <w:rPr>
                <w:sz w:val="22"/>
              </w:rPr>
              <w:t>39</w:t>
            </w:r>
          </w:p>
        </w:tc>
        <w:tc>
          <w:tcPr>
            <w:tcW w:type="dxa" w:w="6829"/>
            <w:tcBorders>
              <w:top w:sz="4" w:themeColor="accent5" w:val="double"/>
              <w:left w:color="000000" w:sz="6" w:val="single"/>
              <w:bottom w:color="000000" w:sz="6" w:val="single"/>
              <w:right w:color="000000" w:sz="6" w:val="single"/>
            </w:tcBorders>
            <w:shd w:fill="auto" w:val="clear"/>
            <w:vAlign w:val="center"/>
          </w:tcPr>
          <w:p w14:paraId="50060000">
            <w:pPr>
              <w:widowControl w:val="1"/>
              <w:spacing w:line="240" w:lineRule="auto"/>
              <w:ind/>
              <w:jc w:val="center"/>
              <w:rPr>
                <w:sz w:val="22"/>
              </w:rPr>
            </w:pPr>
            <w:r>
              <w:rPr>
                <w:sz w:val="22"/>
              </w:rPr>
              <w:t>Стараетесь ли Вы избегать социальных контактов в связи с проблемами полости рта?</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51060000">
            <w:pPr>
              <w:widowControl w:val="1"/>
              <w:spacing w:line="240" w:lineRule="auto"/>
              <w:ind w:firstLine="0"/>
              <w:jc w:val="center"/>
              <w:rPr>
                <w:sz w:val="22"/>
              </w:rPr>
            </w:pPr>
            <w:r>
              <w:rPr>
                <w:sz w:val="22"/>
              </w:rPr>
              <w:t>Никогда</w:t>
            </w:r>
          </w:p>
          <w:p w14:paraId="52060000">
            <w:pPr>
              <w:widowControl w:val="1"/>
              <w:spacing w:line="240" w:lineRule="auto"/>
              <w:ind w:firstLine="0"/>
              <w:jc w:val="center"/>
              <w:rPr>
                <w:sz w:val="22"/>
              </w:rPr>
            </w:pPr>
            <w:r>
              <w:rPr>
                <w:sz w:val="22"/>
              </w:rPr>
              <w:t>Крайне редко</w:t>
            </w:r>
          </w:p>
          <w:p w14:paraId="53060000">
            <w:pPr>
              <w:widowControl w:val="1"/>
              <w:spacing w:line="240" w:lineRule="auto"/>
              <w:ind w:firstLine="0"/>
              <w:jc w:val="center"/>
              <w:rPr>
                <w:sz w:val="22"/>
              </w:rPr>
            </w:pPr>
            <w:r>
              <w:rPr>
                <w:sz w:val="22"/>
              </w:rPr>
              <w:t>Часто</w:t>
            </w:r>
          </w:p>
          <w:p w14:paraId="54060000">
            <w:pPr>
              <w:widowControl w:val="1"/>
              <w:spacing w:line="240" w:lineRule="auto"/>
              <w:ind w:firstLine="0"/>
              <w:jc w:val="center"/>
              <w:rPr>
                <w:sz w:val="22"/>
              </w:rPr>
            </w:pPr>
            <w:r>
              <w:rPr>
                <w:sz w:val="22"/>
              </w:rPr>
              <w:t>Очень часто</w:t>
            </w:r>
          </w:p>
          <w:p w14:paraId="55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56060000">
            <w:pPr>
              <w:widowControl w:val="1"/>
              <w:spacing w:line="240" w:lineRule="auto"/>
              <w:ind w:firstLine="0"/>
              <w:jc w:val="center"/>
              <w:rPr>
                <w:sz w:val="22"/>
              </w:rPr>
            </w:pPr>
            <w:r>
              <w:rPr>
                <w:sz w:val="22"/>
              </w:rPr>
              <w:t>40</w:t>
            </w:r>
          </w:p>
        </w:tc>
        <w:tc>
          <w:tcPr>
            <w:tcW w:type="dxa" w:w="6829"/>
            <w:tcBorders>
              <w:top w:color="000000" w:sz="6" w:val="single"/>
              <w:left w:color="000000" w:sz="6" w:val="single"/>
              <w:bottom w:color="000000" w:sz="6" w:val="single"/>
              <w:right w:color="000000" w:sz="6" w:val="single"/>
            </w:tcBorders>
            <w:shd w:fill="auto" w:val="clear"/>
            <w:vAlign w:val="center"/>
          </w:tcPr>
          <w:p w14:paraId="57060000">
            <w:pPr>
              <w:widowControl w:val="1"/>
              <w:spacing w:line="240" w:lineRule="auto"/>
              <w:ind/>
              <w:jc w:val="center"/>
              <w:rPr>
                <w:sz w:val="22"/>
              </w:rPr>
            </w:pPr>
            <w:r>
              <w:rPr>
                <w:sz w:val="22"/>
              </w:rPr>
              <w:t>Бывают ли случаи, когда Вы менее терпимы к членам своей семьи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58060000">
            <w:pPr>
              <w:widowControl w:val="1"/>
              <w:spacing w:line="240" w:lineRule="auto"/>
              <w:ind w:firstLine="0"/>
              <w:jc w:val="center"/>
              <w:rPr>
                <w:sz w:val="22"/>
              </w:rPr>
            </w:pPr>
            <w:r>
              <w:rPr>
                <w:sz w:val="22"/>
              </w:rPr>
              <w:t>Никогда</w:t>
            </w:r>
          </w:p>
          <w:p w14:paraId="59060000">
            <w:pPr>
              <w:widowControl w:val="1"/>
              <w:spacing w:line="240" w:lineRule="auto"/>
              <w:ind w:firstLine="0"/>
              <w:jc w:val="center"/>
              <w:rPr>
                <w:sz w:val="22"/>
              </w:rPr>
            </w:pPr>
            <w:r>
              <w:rPr>
                <w:sz w:val="22"/>
              </w:rPr>
              <w:t>Крайне редко</w:t>
            </w:r>
          </w:p>
          <w:p w14:paraId="5A060000">
            <w:pPr>
              <w:widowControl w:val="1"/>
              <w:spacing w:line="240" w:lineRule="auto"/>
              <w:ind w:firstLine="0"/>
              <w:jc w:val="center"/>
              <w:rPr>
                <w:sz w:val="22"/>
              </w:rPr>
            </w:pPr>
            <w:r>
              <w:rPr>
                <w:sz w:val="22"/>
              </w:rPr>
              <w:t>Часто</w:t>
            </w:r>
          </w:p>
          <w:p w14:paraId="5B060000">
            <w:pPr>
              <w:widowControl w:val="1"/>
              <w:spacing w:line="240" w:lineRule="auto"/>
              <w:ind w:firstLine="0"/>
              <w:jc w:val="center"/>
              <w:rPr>
                <w:sz w:val="22"/>
              </w:rPr>
            </w:pPr>
            <w:r>
              <w:rPr>
                <w:sz w:val="22"/>
              </w:rPr>
              <w:t>Очень часто</w:t>
            </w:r>
          </w:p>
          <w:p w14:paraId="5C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5D060000">
            <w:pPr>
              <w:widowControl w:val="1"/>
              <w:spacing w:line="240" w:lineRule="auto"/>
              <w:ind w:firstLine="0"/>
              <w:jc w:val="center"/>
              <w:rPr>
                <w:sz w:val="22"/>
              </w:rPr>
            </w:pPr>
            <w:r>
              <w:rPr>
                <w:sz w:val="22"/>
              </w:rPr>
              <w:t>41</w:t>
            </w:r>
          </w:p>
        </w:tc>
        <w:tc>
          <w:tcPr>
            <w:tcW w:type="dxa" w:w="6829"/>
            <w:tcBorders>
              <w:top w:color="000000" w:sz="6" w:val="single"/>
              <w:left w:color="000000" w:sz="6" w:val="single"/>
              <w:bottom w:color="000000" w:sz="6" w:val="single"/>
              <w:right w:color="000000" w:sz="6" w:val="single"/>
            </w:tcBorders>
            <w:shd w:fill="auto" w:val="clear"/>
            <w:vAlign w:val="center"/>
          </w:tcPr>
          <w:p w14:paraId="5E060000">
            <w:pPr>
              <w:widowControl w:val="1"/>
              <w:spacing w:line="240" w:lineRule="auto"/>
              <w:ind/>
              <w:jc w:val="center"/>
              <w:rPr>
                <w:sz w:val="22"/>
              </w:rPr>
            </w:pPr>
            <w:r>
              <w:rPr>
                <w:sz w:val="22"/>
              </w:rPr>
              <w:t>Часто ли проблемы полости рта перерастают в проблемы социальных контактов?</w:t>
            </w:r>
          </w:p>
        </w:tc>
        <w:tc>
          <w:tcPr>
            <w:tcW w:type="dxa" w:w="1727"/>
            <w:tcBorders>
              <w:top w:color="000000" w:sz="6" w:val="single"/>
              <w:left w:color="000000" w:sz="6" w:val="single"/>
              <w:bottom w:color="000000" w:sz="6" w:val="single"/>
              <w:right w:sz="4" w:themeColor="accent5" w:val="double"/>
            </w:tcBorders>
            <w:shd w:fill="auto" w:val="clear"/>
            <w:vAlign w:val="center"/>
          </w:tcPr>
          <w:p w14:paraId="5F060000">
            <w:pPr>
              <w:widowControl w:val="1"/>
              <w:spacing w:line="240" w:lineRule="auto"/>
              <w:ind w:firstLine="0"/>
              <w:jc w:val="center"/>
              <w:rPr>
                <w:sz w:val="22"/>
              </w:rPr>
            </w:pPr>
            <w:r>
              <w:rPr>
                <w:sz w:val="22"/>
              </w:rPr>
              <w:t>Никогда</w:t>
            </w:r>
          </w:p>
          <w:p w14:paraId="60060000">
            <w:pPr>
              <w:widowControl w:val="1"/>
              <w:spacing w:line="240" w:lineRule="auto"/>
              <w:ind w:firstLine="0"/>
              <w:jc w:val="center"/>
              <w:rPr>
                <w:sz w:val="22"/>
              </w:rPr>
            </w:pPr>
            <w:r>
              <w:rPr>
                <w:sz w:val="22"/>
              </w:rPr>
              <w:t>Крайне редко</w:t>
            </w:r>
          </w:p>
          <w:p w14:paraId="61060000">
            <w:pPr>
              <w:widowControl w:val="1"/>
              <w:spacing w:line="240" w:lineRule="auto"/>
              <w:ind w:firstLine="0"/>
              <w:jc w:val="center"/>
              <w:rPr>
                <w:sz w:val="22"/>
              </w:rPr>
            </w:pPr>
            <w:r>
              <w:rPr>
                <w:sz w:val="22"/>
              </w:rPr>
              <w:t>Часто</w:t>
            </w:r>
          </w:p>
          <w:p w14:paraId="62060000">
            <w:pPr>
              <w:widowControl w:val="1"/>
              <w:spacing w:line="240" w:lineRule="auto"/>
              <w:ind w:firstLine="0"/>
              <w:jc w:val="center"/>
              <w:rPr>
                <w:sz w:val="22"/>
              </w:rPr>
            </w:pPr>
            <w:r>
              <w:rPr>
                <w:sz w:val="22"/>
              </w:rPr>
              <w:t>Очень часто</w:t>
            </w:r>
          </w:p>
          <w:p w14:paraId="63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64060000">
            <w:pPr>
              <w:widowControl w:val="1"/>
              <w:spacing w:line="240" w:lineRule="auto"/>
              <w:ind w:firstLine="0"/>
              <w:jc w:val="center"/>
              <w:rPr>
                <w:sz w:val="22"/>
              </w:rPr>
            </w:pPr>
            <w:r>
              <w:rPr>
                <w:sz w:val="22"/>
              </w:rPr>
              <w:t>42</w:t>
            </w:r>
          </w:p>
        </w:tc>
        <w:tc>
          <w:tcPr>
            <w:tcW w:type="dxa" w:w="6829"/>
            <w:tcBorders>
              <w:top w:color="000000" w:sz="6" w:val="single"/>
              <w:left w:color="000000" w:sz="6" w:val="single"/>
              <w:bottom w:color="000000" w:sz="6" w:val="single"/>
              <w:right w:color="000000" w:sz="6" w:val="single"/>
            </w:tcBorders>
            <w:shd w:fill="auto" w:val="clear"/>
            <w:vAlign w:val="center"/>
          </w:tcPr>
          <w:p w14:paraId="65060000">
            <w:pPr>
              <w:widowControl w:val="1"/>
              <w:spacing w:line="240" w:lineRule="auto"/>
              <w:ind/>
              <w:jc w:val="center"/>
              <w:rPr>
                <w:sz w:val="22"/>
              </w:rPr>
            </w:pPr>
            <w:r>
              <w:rPr>
                <w:sz w:val="22"/>
              </w:rPr>
              <w:t>Бываете ли Вы раздражительны с другими людьми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66060000">
            <w:pPr>
              <w:widowControl w:val="1"/>
              <w:spacing w:line="240" w:lineRule="auto"/>
              <w:ind w:firstLine="0"/>
              <w:jc w:val="center"/>
              <w:rPr>
                <w:sz w:val="22"/>
              </w:rPr>
            </w:pPr>
            <w:r>
              <w:rPr>
                <w:sz w:val="22"/>
              </w:rPr>
              <w:t>Никогда</w:t>
            </w:r>
          </w:p>
          <w:p w14:paraId="67060000">
            <w:pPr>
              <w:widowControl w:val="1"/>
              <w:spacing w:line="240" w:lineRule="auto"/>
              <w:ind w:firstLine="0"/>
              <w:jc w:val="center"/>
              <w:rPr>
                <w:sz w:val="22"/>
              </w:rPr>
            </w:pPr>
            <w:r>
              <w:rPr>
                <w:sz w:val="22"/>
              </w:rPr>
              <w:t>Крайне редко</w:t>
            </w:r>
          </w:p>
          <w:p w14:paraId="68060000">
            <w:pPr>
              <w:widowControl w:val="1"/>
              <w:spacing w:line="240" w:lineRule="auto"/>
              <w:ind w:firstLine="0"/>
              <w:jc w:val="center"/>
              <w:rPr>
                <w:sz w:val="22"/>
              </w:rPr>
            </w:pPr>
            <w:r>
              <w:rPr>
                <w:sz w:val="22"/>
              </w:rPr>
              <w:t>Часто</w:t>
            </w:r>
          </w:p>
          <w:p w14:paraId="69060000">
            <w:pPr>
              <w:widowControl w:val="1"/>
              <w:spacing w:line="240" w:lineRule="auto"/>
              <w:ind w:firstLine="0"/>
              <w:jc w:val="center"/>
              <w:rPr>
                <w:sz w:val="22"/>
              </w:rPr>
            </w:pPr>
            <w:r>
              <w:rPr>
                <w:sz w:val="22"/>
              </w:rPr>
              <w:t>Очень часто</w:t>
            </w:r>
          </w:p>
          <w:p w14:paraId="6A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6B060000">
            <w:pPr>
              <w:widowControl w:val="1"/>
              <w:spacing w:line="240" w:lineRule="auto"/>
              <w:ind w:firstLine="0"/>
              <w:jc w:val="center"/>
              <w:rPr>
                <w:sz w:val="22"/>
              </w:rPr>
            </w:pPr>
            <w:r>
              <w:rPr>
                <w:sz w:val="22"/>
              </w:rPr>
              <w:t>43</w:t>
            </w:r>
          </w:p>
        </w:tc>
        <w:tc>
          <w:tcPr>
            <w:tcW w:type="dxa" w:w="6829"/>
            <w:tcBorders>
              <w:top w:color="000000" w:sz="6" w:val="single"/>
              <w:left w:color="000000" w:sz="6" w:val="single"/>
              <w:bottom w:sz="4" w:themeColor="accent5" w:val="double"/>
              <w:right w:color="000000" w:sz="6" w:val="single"/>
            </w:tcBorders>
            <w:shd w:fill="auto" w:val="clear"/>
            <w:vAlign w:val="center"/>
          </w:tcPr>
          <w:p w14:paraId="6C060000">
            <w:pPr>
              <w:widowControl w:val="1"/>
              <w:spacing w:line="240" w:lineRule="auto"/>
              <w:ind/>
              <w:jc w:val="center"/>
              <w:rPr>
                <w:sz w:val="22"/>
              </w:rPr>
            </w:pPr>
            <w:r>
              <w:rPr>
                <w:sz w:val="22"/>
              </w:rPr>
              <w:t>Испытываете ли Вы затруднения в профессиональной деятельности из-за проблем полости рта?</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6D060000">
            <w:pPr>
              <w:widowControl w:val="1"/>
              <w:spacing w:line="240" w:lineRule="auto"/>
              <w:ind w:firstLine="0"/>
              <w:jc w:val="center"/>
              <w:rPr>
                <w:sz w:val="22"/>
              </w:rPr>
            </w:pPr>
            <w:r>
              <w:rPr>
                <w:sz w:val="22"/>
              </w:rPr>
              <w:t>Никогда</w:t>
            </w:r>
          </w:p>
          <w:p w14:paraId="6E060000">
            <w:pPr>
              <w:widowControl w:val="1"/>
              <w:spacing w:line="240" w:lineRule="auto"/>
              <w:ind w:firstLine="0"/>
              <w:jc w:val="center"/>
              <w:rPr>
                <w:sz w:val="22"/>
              </w:rPr>
            </w:pPr>
            <w:r>
              <w:rPr>
                <w:sz w:val="22"/>
              </w:rPr>
              <w:t>Крайне редко</w:t>
            </w:r>
          </w:p>
          <w:p w14:paraId="6F060000">
            <w:pPr>
              <w:widowControl w:val="1"/>
              <w:spacing w:line="240" w:lineRule="auto"/>
              <w:ind w:firstLine="0"/>
              <w:jc w:val="center"/>
              <w:rPr>
                <w:sz w:val="22"/>
              </w:rPr>
            </w:pPr>
            <w:r>
              <w:rPr>
                <w:sz w:val="22"/>
              </w:rPr>
              <w:t>Часто</w:t>
            </w:r>
          </w:p>
          <w:p w14:paraId="70060000">
            <w:pPr>
              <w:widowControl w:val="1"/>
              <w:spacing w:line="240" w:lineRule="auto"/>
              <w:ind w:firstLine="0"/>
              <w:jc w:val="center"/>
              <w:rPr>
                <w:sz w:val="22"/>
              </w:rPr>
            </w:pPr>
            <w:r>
              <w:rPr>
                <w:sz w:val="22"/>
              </w:rPr>
              <w:t>Очень часто</w:t>
            </w:r>
          </w:p>
          <w:p w14:paraId="71060000">
            <w:pPr>
              <w:widowControl w:val="1"/>
              <w:spacing w:line="240" w:lineRule="auto"/>
              <w:ind w:firstLine="0"/>
              <w:jc w:val="center"/>
              <w:rPr>
                <w:sz w:val="22"/>
              </w:rPr>
            </w:pPr>
            <w:r>
              <w:rPr>
                <w:sz w:val="22"/>
              </w:rPr>
              <w:t>Постоянно</w:t>
            </w:r>
          </w:p>
        </w:tc>
      </w:tr>
      <w:tr>
        <w:tc>
          <w:tcPr>
            <w:tcW w:type="dxa" w:w="799"/>
            <w:tcBorders>
              <w:top w:sz="4" w:themeColor="accent5" w:val="double"/>
              <w:left w:sz="4" w:themeColor="accent5" w:val="double"/>
              <w:bottom w:color="000000" w:sz="6" w:val="single"/>
              <w:right w:color="000000" w:sz="6" w:val="single"/>
            </w:tcBorders>
            <w:shd w:themeFill="background2" w:val="clear"/>
            <w:vAlign w:val="center"/>
          </w:tcPr>
          <w:p w14:paraId="72060000">
            <w:pPr>
              <w:widowControl w:val="1"/>
              <w:spacing w:line="240" w:lineRule="auto"/>
              <w:ind w:firstLine="0"/>
              <w:jc w:val="center"/>
              <w:rPr>
                <w:color w:themeColor="accent5" w:val="4472C4"/>
                <w:sz w:val="22"/>
              </w:rPr>
            </w:pPr>
          </w:p>
        </w:tc>
        <w:tc>
          <w:tcPr>
            <w:tcW w:type="dxa" w:w="6829"/>
            <w:tcBorders>
              <w:top w:sz="4" w:themeColor="accent5" w:val="double"/>
              <w:left w:color="000000" w:sz="6" w:val="single"/>
              <w:bottom w:color="000000" w:sz="6" w:val="single"/>
              <w:right w:color="000000" w:sz="6" w:val="single"/>
            </w:tcBorders>
            <w:shd w:themeFill="background2" w:val="clear"/>
            <w:vAlign w:val="center"/>
          </w:tcPr>
          <w:p w14:paraId="73060000">
            <w:pPr>
              <w:widowControl w:val="1"/>
              <w:spacing w:line="240" w:lineRule="auto"/>
              <w:ind/>
              <w:jc w:val="center"/>
              <w:rPr>
                <w:b w:val="1"/>
                <w:color w:themeColor="accent5" w:val="4472C4"/>
                <w:sz w:val="22"/>
              </w:rPr>
            </w:pPr>
            <w:r>
              <w:rPr>
                <w:b w:val="1"/>
                <w:color w:themeColor="accent5" w:val="4472C4"/>
                <w:sz w:val="22"/>
              </w:rPr>
              <w:t>Ущерб</w:t>
            </w:r>
          </w:p>
        </w:tc>
        <w:tc>
          <w:tcPr>
            <w:tcW w:type="dxa" w:w="1727"/>
            <w:tcBorders>
              <w:top w:sz="4" w:themeColor="accent5" w:val="double"/>
              <w:left w:color="000000" w:sz="6" w:val="single"/>
              <w:bottom w:color="000000" w:sz="6" w:val="single"/>
              <w:right w:sz="4" w:themeColor="accent5" w:val="double"/>
            </w:tcBorders>
            <w:shd w:themeFill="background2" w:val="clear"/>
            <w:vAlign w:val="center"/>
          </w:tcPr>
          <w:p w14:paraId="74060000">
            <w:pPr>
              <w:widowControl w:val="1"/>
              <w:spacing w:line="240" w:lineRule="auto"/>
              <w:ind w:firstLine="0"/>
              <w:jc w:val="center"/>
              <w:rPr>
                <w:color w:themeColor="accent5" w:val="4472C4"/>
                <w:sz w:val="22"/>
              </w:rPr>
            </w:pPr>
          </w:p>
        </w:tc>
      </w:tr>
      <w:tr>
        <w:tc>
          <w:tcPr>
            <w:tcW w:type="dxa" w:w="799"/>
            <w:tcBorders>
              <w:top w:sz="4" w:themeColor="accent5" w:val="double"/>
              <w:left w:sz="4" w:themeColor="accent5" w:val="double"/>
              <w:bottom w:color="000000" w:sz="6" w:val="single"/>
              <w:right w:color="000000" w:sz="6" w:val="single"/>
            </w:tcBorders>
            <w:shd w:fill="auto" w:val="clear"/>
            <w:vAlign w:val="center"/>
          </w:tcPr>
          <w:p w14:paraId="75060000">
            <w:pPr>
              <w:widowControl w:val="1"/>
              <w:spacing w:line="240" w:lineRule="auto"/>
              <w:ind w:firstLine="0"/>
              <w:jc w:val="center"/>
              <w:rPr>
                <w:sz w:val="22"/>
              </w:rPr>
            </w:pPr>
            <w:r>
              <w:rPr>
                <w:sz w:val="22"/>
              </w:rPr>
              <w:t>44</w:t>
            </w:r>
          </w:p>
        </w:tc>
        <w:tc>
          <w:tcPr>
            <w:tcW w:type="dxa" w:w="6829"/>
            <w:tcBorders>
              <w:top w:sz="4" w:themeColor="accent5" w:val="double"/>
              <w:left w:color="000000" w:sz="6" w:val="single"/>
              <w:bottom w:color="000000" w:sz="6" w:val="single"/>
              <w:right w:color="000000" w:sz="6" w:val="single"/>
            </w:tcBorders>
            <w:shd w:fill="auto" w:val="clear"/>
            <w:vAlign w:val="center"/>
          </w:tcPr>
          <w:p w14:paraId="76060000">
            <w:pPr>
              <w:widowControl w:val="1"/>
              <w:spacing w:line="240" w:lineRule="auto"/>
              <w:ind/>
              <w:jc w:val="center"/>
              <w:rPr>
                <w:sz w:val="22"/>
              </w:rPr>
            </w:pPr>
            <w:r>
              <w:rPr>
                <w:sz w:val="22"/>
              </w:rPr>
              <w:t>Чувствуете ли Вы ухудшение состояния общего здоровья из-за проблем полости рта?</w:t>
            </w:r>
          </w:p>
        </w:tc>
        <w:tc>
          <w:tcPr>
            <w:tcW w:type="dxa" w:w="1727"/>
            <w:tcBorders>
              <w:top w:sz="4" w:themeColor="accent5" w:val="double"/>
              <w:left w:color="000000" w:sz="6" w:val="single"/>
              <w:bottom w:color="000000" w:sz="6" w:val="single"/>
              <w:right w:sz="4" w:themeColor="accent5" w:val="double"/>
            </w:tcBorders>
            <w:shd w:fill="auto" w:val="clear"/>
            <w:vAlign w:val="center"/>
          </w:tcPr>
          <w:p w14:paraId="77060000">
            <w:pPr>
              <w:widowControl w:val="1"/>
              <w:spacing w:line="240" w:lineRule="auto"/>
              <w:ind w:firstLine="0"/>
              <w:jc w:val="center"/>
              <w:rPr>
                <w:sz w:val="22"/>
              </w:rPr>
            </w:pPr>
            <w:r>
              <w:rPr>
                <w:sz w:val="22"/>
              </w:rPr>
              <w:t>Никогда</w:t>
            </w:r>
          </w:p>
          <w:p w14:paraId="78060000">
            <w:pPr>
              <w:widowControl w:val="1"/>
              <w:spacing w:line="240" w:lineRule="auto"/>
              <w:ind w:firstLine="0"/>
              <w:jc w:val="center"/>
              <w:rPr>
                <w:sz w:val="22"/>
              </w:rPr>
            </w:pPr>
            <w:r>
              <w:rPr>
                <w:sz w:val="22"/>
              </w:rPr>
              <w:t>Крайне редко</w:t>
            </w:r>
          </w:p>
          <w:p w14:paraId="79060000">
            <w:pPr>
              <w:widowControl w:val="1"/>
              <w:spacing w:line="240" w:lineRule="auto"/>
              <w:ind w:firstLine="0"/>
              <w:jc w:val="center"/>
              <w:rPr>
                <w:sz w:val="22"/>
              </w:rPr>
            </w:pPr>
            <w:r>
              <w:rPr>
                <w:sz w:val="22"/>
              </w:rPr>
              <w:t>Часто</w:t>
            </w:r>
          </w:p>
          <w:p w14:paraId="7A060000">
            <w:pPr>
              <w:widowControl w:val="1"/>
              <w:spacing w:line="240" w:lineRule="auto"/>
              <w:ind w:firstLine="0"/>
              <w:jc w:val="center"/>
              <w:rPr>
                <w:sz w:val="22"/>
              </w:rPr>
            </w:pPr>
            <w:r>
              <w:rPr>
                <w:sz w:val="22"/>
              </w:rPr>
              <w:t>Очень часто</w:t>
            </w:r>
          </w:p>
          <w:p w14:paraId="7B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7C060000">
            <w:pPr>
              <w:widowControl w:val="1"/>
              <w:spacing w:line="240" w:lineRule="auto"/>
              <w:ind w:firstLine="0"/>
              <w:jc w:val="center"/>
              <w:rPr>
                <w:sz w:val="22"/>
              </w:rPr>
            </w:pPr>
            <w:r>
              <w:rPr>
                <w:sz w:val="22"/>
              </w:rPr>
              <w:t>45</w:t>
            </w:r>
          </w:p>
        </w:tc>
        <w:tc>
          <w:tcPr>
            <w:tcW w:type="dxa" w:w="6829"/>
            <w:tcBorders>
              <w:top w:color="000000" w:sz="6" w:val="single"/>
              <w:left w:color="000000" w:sz="6" w:val="single"/>
              <w:bottom w:color="000000" w:sz="6" w:val="single"/>
              <w:right w:color="000000" w:sz="6" w:val="single"/>
            </w:tcBorders>
            <w:shd w:fill="auto" w:val="clear"/>
            <w:vAlign w:val="center"/>
          </w:tcPr>
          <w:p w14:paraId="7D060000">
            <w:pPr>
              <w:widowControl w:val="1"/>
              <w:spacing w:line="240" w:lineRule="auto"/>
              <w:ind/>
              <w:jc w:val="center"/>
              <w:rPr>
                <w:sz w:val="22"/>
              </w:rPr>
            </w:pPr>
            <w:r>
              <w:rPr>
                <w:sz w:val="22"/>
              </w:rPr>
              <w:t>Несете ли Вы какие-либо финансовые потери (убытки)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7E060000">
            <w:pPr>
              <w:widowControl w:val="1"/>
              <w:spacing w:line="240" w:lineRule="auto"/>
              <w:ind w:firstLine="0"/>
              <w:jc w:val="center"/>
              <w:rPr>
                <w:sz w:val="22"/>
              </w:rPr>
            </w:pPr>
            <w:r>
              <w:rPr>
                <w:sz w:val="22"/>
              </w:rPr>
              <w:t>Никогда</w:t>
            </w:r>
          </w:p>
          <w:p w14:paraId="7F060000">
            <w:pPr>
              <w:widowControl w:val="1"/>
              <w:spacing w:line="240" w:lineRule="auto"/>
              <w:ind w:firstLine="0"/>
              <w:jc w:val="center"/>
              <w:rPr>
                <w:sz w:val="22"/>
              </w:rPr>
            </w:pPr>
            <w:r>
              <w:rPr>
                <w:sz w:val="22"/>
              </w:rPr>
              <w:t>Крайне редко</w:t>
            </w:r>
          </w:p>
          <w:p w14:paraId="80060000">
            <w:pPr>
              <w:widowControl w:val="1"/>
              <w:spacing w:line="240" w:lineRule="auto"/>
              <w:ind w:firstLine="0"/>
              <w:jc w:val="center"/>
              <w:rPr>
                <w:sz w:val="22"/>
              </w:rPr>
            </w:pPr>
            <w:r>
              <w:rPr>
                <w:sz w:val="22"/>
              </w:rPr>
              <w:t>Часто</w:t>
            </w:r>
          </w:p>
          <w:p w14:paraId="81060000">
            <w:pPr>
              <w:widowControl w:val="1"/>
              <w:spacing w:line="240" w:lineRule="auto"/>
              <w:ind w:firstLine="0"/>
              <w:jc w:val="center"/>
              <w:rPr>
                <w:sz w:val="22"/>
              </w:rPr>
            </w:pPr>
            <w:r>
              <w:rPr>
                <w:sz w:val="22"/>
              </w:rPr>
              <w:t>Очень часто</w:t>
            </w:r>
          </w:p>
          <w:p w14:paraId="82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83060000">
            <w:pPr>
              <w:widowControl w:val="1"/>
              <w:spacing w:line="240" w:lineRule="auto"/>
              <w:ind w:firstLine="0"/>
              <w:jc w:val="center"/>
              <w:rPr>
                <w:sz w:val="22"/>
              </w:rPr>
            </w:pPr>
            <w:r>
              <w:rPr>
                <w:sz w:val="22"/>
              </w:rPr>
              <w:t>46</w:t>
            </w:r>
          </w:p>
        </w:tc>
        <w:tc>
          <w:tcPr>
            <w:tcW w:type="dxa" w:w="6829"/>
            <w:tcBorders>
              <w:top w:color="000000" w:sz="6" w:val="single"/>
              <w:left w:color="000000" w:sz="6" w:val="single"/>
              <w:bottom w:color="000000" w:sz="6" w:val="single"/>
              <w:right w:color="000000" w:sz="6" w:val="single"/>
            </w:tcBorders>
            <w:shd w:fill="auto" w:val="clear"/>
            <w:vAlign w:val="center"/>
          </w:tcPr>
          <w:p w14:paraId="84060000">
            <w:pPr>
              <w:widowControl w:val="1"/>
              <w:spacing w:line="240" w:lineRule="auto"/>
              <w:ind/>
              <w:jc w:val="center"/>
              <w:rPr>
                <w:sz w:val="22"/>
              </w:rPr>
            </w:pPr>
            <w:r>
              <w:rPr>
                <w:sz w:val="22"/>
              </w:rPr>
              <w:t>Испытываете ли Вы невозможность получать удовольствие от общения с друзьями в связи с проблемами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85060000">
            <w:pPr>
              <w:widowControl w:val="1"/>
              <w:spacing w:line="240" w:lineRule="auto"/>
              <w:ind w:firstLine="0"/>
              <w:jc w:val="center"/>
              <w:rPr>
                <w:sz w:val="22"/>
              </w:rPr>
            </w:pPr>
            <w:r>
              <w:rPr>
                <w:sz w:val="22"/>
              </w:rPr>
              <w:t>Никогда</w:t>
            </w:r>
          </w:p>
          <w:p w14:paraId="86060000">
            <w:pPr>
              <w:widowControl w:val="1"/>
              <w:spacing w:line="240" w:lineRule="auto"/>
              <w:ind w:firstLine="0"/>
              <w:jc w:val="center"/>
              <w:rPr>
                <w:sz w:val="22"/>
              </w:rPr>
            </w:pPr>
            <w:r>
              <w:rPr>
                <w:sz w:val="22"/>
              </w:rPr>
              <w:t>Крайне редко</w:t>
            </w:r>
          </w:p>
          <w:p w14:paraId="87060000">
            <w:pPr>
              <w:widowControl w:val="1"/>
              <w:spacing w:line="240" w:lineRule="auto"/>
              <w:ind w:firstLine="0"/>
              <w:jc w:val="center"/>
              <w:rPr>
                <w:sz w:val="22"/>
              </w:rPr>
            </w:pPr>
            <w:r>
              <w:rPr>
                <w:sz w:val="22"/>
              </w:rPr>
              <w:t>Часто</w:t>
            </w:r>
          </w:p>
          <w:p w14:paraId="88060000">
            <w:pPr>
              <w:widowControl w:val="1"/>
              <w:spacing w:line="240" w:lineRule="auto"/>
              <w:ind w:firstLine="0"/>
              <w:jc w:val="center"/>
              <w:rPr>
                <w:sz w:val="22"/>
              </w:rPr>
            </w:pPr>
            <w:r>
              <w:rPr>
                <w:sz w:val="22"/>
              </w:rPr>
              <w:t>Очень часто</w:t>
            </w:r>
          </w:p>
          <w:p w14:paraId="89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8A060000">
            <w:pPr>
              <w:widowControl w:val="1"/>
              <w:spacing w:line="240" w:lineRule="auto"/>
              <w:ind w:firstLine="0"/>
              <w:jc w:val="center"/>
              <w:rPr>
                <w:sz w:val="22"/>
              </w:rPr>
            </w:pPr>
            <w:r>
              <w:rPr>
                <w:sz w:val="22"/>
              </w:rPr>
              <w:t>47</w:t>
            </w:r>
          </w:p>
        </w:tc>
        <w:tc>
          <w:tcPr>
            <w:tcW w:type="dxa" w:w="6829"/>
            <w:tcBorders>
              <w:top w:color="000000" w:sz="6" w:val="single"/>
              <w:left w:color="000000" w:sz="6" w:val="single"/>
              <w:bottom w:color="000000" w:sz="6" w:val="single"/>
              <w:right w:color="000000" w:sz="6" w:val="single"/>
            </w:tcBorders>
            <w:shd w:fill="auto" w:val="clear"/>
            <w:vAlign w:val="center"/>
          </w:tcPr>
          <w:p w14:paraId="8B060000">
            <w:pPr>
              <w:widowControl w:val="1"/>
              <w:spacing w:line="240" w:lineRule="auto"/>
              <w:ind/>
              <w:jc w:val="center"/>
              <w:rPr>
                <w:sz w:val="22"/>
              </w:rPr>
            </w:pPr>
            <w:r>
              <w:rPr>
                <w:sz w:val="22"/>
              </w:rPr>
              <w:t>Испытываете ли Вы неудовлетворенность жизнью в целом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8C060000">
            <w:pPr>
              <w:widowControl w:val="1"/>
              <w:spacing w:line="240" w:lineRule="auto"/>
              <w:ind w:firstLine="0"/>
              <w:jc w:val="center"/>
              <w:rPr>
                <w:sz w:val="22"/>
              </w:rPr>
            </w:pPr>
            <w:r>
              <w:rPr>
                <w:sz w:val="22"/>
              </w:rPr>
              <w:t>Никогда</w:t>
            </w:r>
          </w:p>
          <w:p w14:paraId="8D060000">
            <w:pPr>
              <w:widowControl w:val="1"/>
              <w:spacing w:line="240" w:lineRule="auto"/>
              <w:ind w:firstLine="0"/>
              <w:jc w:val="center"/>
              <w:rPr>
                <w:sz w:val="22"/>
              </w:rPr>
            </w:pPr>
            <w:r>
              <w:rPr>
                <w:sz w:val="22"/>
              </w:rPr>
              <w:t>Крайне редко</w:t>
            </w:r>
          </w:p>
          <w:p w14:paraId="8E060000">
            <w:pPr>
              <w:widowControl w:val="1"/>
              <w:spacing w:line="240" w:lineRule="auto"/>
              <w:ind w:firstLine="0"/>
              <w:jc w:val="center"/>
              <w:rPr>
                <w:sz w:val="22"/>
              </w:rPr>
            </w:pPr>
            <w:r>
              <w:rPr>
                <w:sz w:val="22"/>
              </w:rPr>
              <w:t>Часто</w:t>
            </w:r>
          </w:p>
          <w:p w14:paraId="8F060000">
            <w:pPr>
              <w:widowControl w:val="1"/>
              <w:spacing w:line="240" w:lineRule="auto"/>
              <w:ind w:firstLine="0"/>
              <w:jc w:val="center"/>
              <w:rPr>
                <w:sz w:val="22"/>
              </w:rPr>
            </w:pPr>
            <w:r>
              <w:rPr>
                <w:sz w:val="22"/>
              </w:rPr>
              <w:t>Очень часто</w:t>
            </w:r>
          </w:p>
          <w:p w14:paraId="90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color="000000" w:sz="6" w:val="single"/>
              <w:right w:color="000000" w:sz="6" w:val="single"/>
            </w:tcBorders>
            <w:shd w:fill="auto" w:val="clear"/>
            <w:vAlign w:val="center"/>
          </w:tcPr>
          <w:p w14:paraId="91060000">
            <w:pPr>
              <w:widowControl w:val="1"/>
              <w:spacing w:line="240" w:lineRule="auto"/>
              <w:ind w:firstLine="0"/>
              <w:jc w:val="center"/>
              <w:rPr>
                <w:sz w:val="22"/>
              </w:rPr>
            </w:pPr>
            <w:r>
              <w:rPr>
                <w:sz w:val="22"/>
              </w:rPr>
              <w:t>48</w:t>
            </w:r>
          </w:p>
        </w:tc>
        <w:tc>
          <w:tcPr>
            <w:tcW w:type="dxa" w:w="6829"/>
            <w:tcBorders>
              <w:top w:color="000000" w:sz="6" w:val="single"/>
              <w:left w:color="000000" w:sz="6" w:val="single"/>
              <w:bottom w:color="000000" w:sz="6" w:val="single"/>
              <w:right w:color="000000" w:sz="6" w:val="single"/>
            </w:tcBorders>
            <w:shd w:fill="auto" w:val="clear"/>
            <w:vAlign w:val="center"/>
          </w:tcPr>
          <w:p w14:paraId="92060000">
            <w:pPr>
              <w:widowControl w:val="1"/>
              <w:spacing w:line="240" w:lineRule="auto"/>
              <w:ind/>
              <w:jc w:val="center"/>
              <w:rPr>
                <w:sz w:val="22"/>
              </w:rPr>
            </w:pPr>
            <w:r>
              <w:rPr>
                <w:sz w:val="22"/>
              </w:rPr>
              <w:t>Случалось ли так, что Вы были абсолютно неспособны что-либо делать из-за проблем полости рта?</w:t>
            </w:r>
          </w:p>
        </w:tc>
        <w:tc>
          <w:tcPr>
            <w:tcW w:type="dxa" w:w="1727"/>
            <w:tcBorders>
              <w:top w:color="000000" w:sz="6" w:val="single"/>
              <w:left w:color="000000" w:sz="6" w:val="single"/>
              <w:bottom w:color="000000" w:sz="6" w:val="single"/>
              <w:right w:sz="4" w:themeColor="accent5" w:val="double"/>
            </w:tcBorders>
            <w:shd w:fill="auto" w:val="clear"/>
            <w:vAlign w:val="center"/>
          </w:tcPr>
          <w:p w14:paraId="93060000">
            <w:pPr>
              <w:widowControl w:val="1"/>
              <w:spacing w:line="240" w:lineRule="auto"/>
              <w:ind w:firstLine="0"/>
              <w:jc w:val="center"/>
              <w:rPr>
                <w:sz w:val="22"/>
              </w:rPr>
            </w:pPr>
            <w:r>
              <w:rPr>
                <w:sz w:val="22"/>
              </w:rPr>
              <w:t>Никогда</w:t>
            </w:r>
          </w:p>
          <w:p w14:paraId="94060000">
            <w:pPr>
              <w:widowControl w:val="1"/>
              <w:spacing w:line="240" w:lineRule="auto"/>
              <w:ind w:firstLine="0"/>
              <w:jc w:val="center"/>
              <w:rPr>
                <w:sz w:val="22"/>
              </w:rPr>
            </w:pPr>
            <w:r>
              <w:rPr>
                <w:sz w:val="22"/>
              </w:rPr>
              <w:t>Крайне редко</w:t>
            </w:r>
          </w:p>
          <w:p w14:paraId="95060000">
            <w:pPr>
              <w:widowControl w:val="1"/>
              <w:spacing w:line="240" w:lineRule="auto"/>
              <w:ind w:firstLine="0"/>
              <w:jc w:val="center"/>
              <w:rPr>
                <w:sz w:val="22"/>
              </w:rPr>
            </w:pPr>
            <w:r>
              <w:rPr>
                <w:sz w:val="22"/>
              </w:rPr>
              <w:t>Часто</w:t>
            </w:r>
          </w:p>
          <w:p w14:paraId="96060000">
            <w:pPr>
              <w:widowControl w:val="1"/>
              <w:spacing w:line="240" w:lineRule="auto"/>
              <w:ind w:firstLine="0"/>
              <w:jc w:val="center"/>
              <w:rPr>
                <w:sz w:val="22"/>
              </w:rPr>
            </w:pPr>
            <w:r>
              <w:rPr>
                <w:sz w:val="22"/>
              </w:rPr>
              <w:t>Очень часто</w:t>
            </w:r>
          </w:p>
          <w:p w14:paraId="97060000">
            <w:pPr>
              <w:widowControl w:val="1"/>
              <w:spacing w:line="240" w:lineRule="auto"/>
              <w:ind w:firstLine="0"/>
              <w:jc w:val="center"/>
              <w:rPr>
                <w:sz w:val="22"/>
              </w:rPr>
            </w:pPr>
            <w:r>
              <w:rPr>
                <w:sz w:val="22"/>
              </w:rPr>
              <w:t>Постоянно</w:t>
            </w:r>
          </w:p>
        </w:tc>
      </w:tr>
      <w:tr>
        <w:tc>
          <w:tcPr>
            <w:tcW w:type="dxa" w:w="799"/>
            <w:tcBorders>
              <w:top w:color="000000" w:sz="6" w:val="single"/>
              <w:left w:sz="4" w:themeColor="accent5" w:val="double"/>
              <w:bottom w:sz="4" w:themeColor="accent5" w:val="double"/>
              <w:right w:color="000000" w:sz="6" w:val="single"/>
            </w:tcBorders>
            <w:shd w:fill="auto" w:val="clear"/>
            <w:vAlign w:val="center"/>
          </w:tcPr>
          <w:p w14:paraId="98060000">
            <w:pPr>
              <w:widowControl w:val="1"/>
              <w:spacing w:line="240" w:lineRule="auto"/>
              <w:ind w:firstLine="0"/>
              <w:jc w:val="center"/>
              <w:rPr>
                <w:sz w:val="22"/>
              </w:rPr>
            </w:pPr>
            <w:r>
              <w:rPr>
                <w:sz w:val="22"/>
              </w:rPr>
              <w:t>49</w:t>
            </w:r>
          </w:p>
        </w:tc>
        <w:tc>
          <w:tcPr>
            <w:tcW w:type="dxa" w:w="6829"/>
            <w:tcBorders>
              <w:top w:color="000000" w:sz="6" w:val="single"/>
              <w:left w:color="000000" w:sz="6" w:val="single"/>
              <w:bottom w:sz="4" w:themeColor="accent5" w:val="double"/>
              <w:right w:color="000000" w:sz="6" w:val="single"/>
            </w:tcBorders>
            <w:shd w:fill="auto" w:val="clear"/>
            <w:vAlign w:val="center"/>
          </w:tcPr>
          <w:p w14:paraId="99060000">
            <w:pPr>
              <w:widowControl w:val="1"/>
              <w:spacing w:line="240" w:lineRule="auto"/>
              <w:ind/>
              <w:jc w:val="center"/>
              <w:rPr>
                <w:sz w:val="22"/>
              </w:rPr>
            </w:pPr>
            <w:r>
              <w:rPr>
                <w:sz w:val="22"/>
              </w:rPr>
              <w:t>Считаете ли Вы, что проблемы полости рта делают невозможным выполнение Ваших профессиональных обязанностей?</w:t>
            </w:r>
          </w:p>
        </w:tc>
        <w:tc>
          <w:tcPr>
            <w:tcW w:type="dxa" w:w="1727"/>
            <w:tcBorders>
              <w:top w:color="000000" w:sz="6" w:val="single"/>
              <w:left w:color="000000" w:sz="6" w:val="single"/>
              <w:bottom w:sz="4" w:themeColor="accent5" w:val="double"/>
              <w:right w:sz="4" w:themeColor="accent5" w:val="double"/>
            </w:tcBorders>
            <w:shd w:fill="auto" w:val="clear"/>
            <w:vAlign w:val="center"/>
          </w:tcPr>
          <w:p w14:paraId="9A060000">
            <w:pPr>
              <w:widowControl w:val="1"/>
              <w:spacing w:line="240" w:lineRule="auto"/>
              <w:ind w:firstLine="0"/>
              <w:jc w:val="center"/>
              <w:rPr>
                <w:sz w:val="22"/>
              </w:rPr>
            </w:pPr>
            <w:r>
              <w:rPr>
                <w:sz w:val="22"/>
              </w:rPr>
              <w:t>Никогда</w:t>
            </w:r>
          </w:p>
          <w:p w14:paraId="9B060000">
            <w:pPr>
              <w:widowControl w:val="1"/>
              <w:spacing w:line="240" w:lineRule="auto"/>
              <w:ind w:firstLine="0"/>
              <w:jc w:val="center"/>
              <w:rPr>
                <w:sz w:val="22"/>
              </w:rPr>
            </w:pPr>
            <w:r>
              <w:rPr>
                <w:sz w:val="22"/>
              </w:rPr>
              <w:t>Крайне редко</w:t>
            </w:r>
          </w:p>
          <w:p w14:paraId="9C060000">
            <w:pPr>
              <w:widowControl w:val="1"/>
              <w:spacing w:line="240" w:lineRule="auto"/>
              <w:ind w:firstLine="0"/>
              <w:jc w:val="center"/>
              <w:rPr>
                <w:sz w:val="22"/>
              </w:rPr>
            </w:pPr>
            <w:r>
              <w:rPr>
                <w:sz w:val="22"/>
              </w:rPr>
              <w:t>Часто</w:t>
            </w:r>
          </w:p>
          <w:p w14:paraId="9D060000">
            <w:pPr>
              <w:widowControl w:val="1"/>
              <w:spacing w:line="240" w:lineRule="auto"/>
              <w:ind w:firstLine="0"/>
              <w:jc w:val="center"/>
              <w:rPr>
                <w:sz w:val="22"/>
              </w:rPr>
            </w:pPr>
            <w:r>
              <w:rPr>
                <w:sz w:val="22"/>
              </w:rPr>
              <w:t>Очень часто</w:t>
            </w:r>
          </w:p>
          <w:p w14:paraId="9E060000">
            <w:pPr>
              <w:widowControl w:val="1"/>
              <w:spacing w:line="240" w:lineRule="auto"/>
              <w:ind w:firstLine="0"/>
              <w:jc w:val="center"/>
              <w:rPr>
                <w:sz w:val="22"/>
              </w:rPr>
            </w:pPr>
            <w:r>
              <w:rPr>
                <w:sz w:val="22"/>
              </w:rPr>
              <w:t>Постоянно</w:t>
            </w:r>
          </w:p>
        </w:tc>
      </w:tr>
    </w:tbl>
    <w:p w14:paraId="9F060000">
      <w:pPr>
        <w:pStyle w:val="Style_17"/>
      </w:pPr>
    </w:p>
    <w:p w14:paraId="A0060000">
      <w:pPr>
        <w:pStyle w:val="Style_17"/>
        <w:rPr>
          <w:b w:val="1"/>
        </w:rPr>
      </w:pPr>
      <w:r>
        <w:rPr>
          <w:b w:val="1"/>
        </w:rPr>
        <w:t>Ключ (интерпретация):</w:t>
      </w:r>
    </w:p>
    <w:p w14:paraId="A1060000">
      <w:pPr>
        <w:pStyle w:val="Style_17"/>
      </w:pPr>
      <w:r>
        <w:t>Каждому из ответов присваивается количество баллов: никогда – 0 баллов, крайне редко – 1 балл, часто – 2 балла, очень часто – 3 балла, постоянно – 4 балла.</w:t>
      </w:r>
    </w:p>
    <w:p w14:paraId="A2060000">
      <w:pPr>
        <w:pStyle w:val="Style_17"/>
      </w:pPr>
      <w:r>
        <w:t xml:space="preserve">Производится расчет интегрального показателя </w:t>
      </w:r>
      <w:r>
        <w:t>OHIP</w:t>
      </w:r>
      <w:r>
        <w:t>-49-</w:t>
      </w:r>
      <w:r>
        <w:t>RU</w:t>
      </w:r>
      <w:r>
        <w:t xml:space="preserve"> путем суммирования баллов по всем вопросам (49).</w:t>
      </w:r>
    </w:p>
    <w:p w14:paraId="A3060000">
      <w:pPr>
        <w:pStyle w:val="Style_17"/>
      </w:pPr>
      <w:r>
        <w:t xml:space="preserve">Для оценки влияния стоматологического здоровья по 7 составляющим (шкалам) качества жизни (ограничение функций, физический дискомфорт, психологический дискомфорт, физические расстройства, психологические расстройства, социальная дезадаптация, ущерб) рассчитывается сумма баллов по каждой их каждой шкал. </w:t>
      </w:r>
    </w:p>
    <w:p w14:paraId="A4060000">
      <w:pPr>
        <w:sectPr>
          <w:footerReference r:id="rId5" w:type="default"/>
          <w:pgSz w:h="16838" w:orient="portrait" w:w="11906"/>
          <w:pgMar w:bottom="1134" w:footer="397" w:gutter="0" w:header="397" w:left="1701" w:right="850" w:top="1134"/>
          <w:titlePg/>
        </w:sectPr>
      </w:pPr>
    </w:p>
    <w:p w14:paraId="A5060000">
      <w:bookmarkStart w:id="75" w:name="__RefHeading___46"/>
      <w:bookmarkEnd w:id="75"/>
      <w:pPr>
        <w:pStyle w:val="Style_8"/>
      </w:pPr>
      <w:bookmarkStart w:id="76" w:name="_Hlk92836743"/>
      <w:r>
        <w:t>Приложение Г3</w:t>
      </w:r>
    </w:p>
    <w:p w14:paraId="A6060000">
      <w:pPr>
        <w:pStyle w:val="Style_17"/>
        <w:widowControl w:val="1"/>
        <w:ind/>
        <w:jc w:val="center"/>
        <w:rPr>
          <w:highlight w:val="white"/>
        </w:rPr>
      </w:pPr>
      <w:bookmarkStart w:id="77" w:name="_Hlk92490266"/>
      <w:r>
        <w:rPr>
          <w:rStyle w:val="Style_25_ch"/>
          <w:color w:val="333333"/>
          <w:highlight w:val="white"/>
        </w:rPr>
        <w:t xml:space="preserve">ФОРМА ДОБРОВОЛЬНОГО ИНФОРМИРОВАННОГО СОГЛАСИЯ ПАЦИЕНТА ПРИ ВЫПОЛНЕНИИ КЛИНИЧЕСКИХ РЕКОМЕНДАЦИЙ </w:t>
      </w:r>
      <w:bookmarkEnd w:id="77"/>
      <w:r>
        <w:rPr>
          <w:rStyle w:val="Style_25_ch"/>
          <w:color w:val="333333"/>
          <w:highlight w:val="white"/>
        </w:rPr>
        <w:t>(ПРОТОКОЛОВ ЛЕЧЕНИЯ)</w:t>
      </w:r>
      <w:r>
        <w:br/>
      </w:r>
      <w:r>
        <w:rPr>
          <w:highlight w:val="white"/>
        </w:rPr>
        <w:t>ПРИЛОЖЕНИЕ К МЕДИЦИНСКОЙ КАРТЕ №_____</w:t>
      </w:r>
      <w:r>
        <w:br/>
      </w:r>
    </w:p>
    <w:p w14:paraId="A7060000">
      <w:pPr>
        <w:pStyle w:val="Style_17"/>
        <w:widowControl w:val="1"/>
        <w:ind w:firstLine="0"/>
        <w:jc w:val="left"/>
        <w:rPr>
          <w:highlight w:val="white"/>
        </w:rPr>
      </w:pPr>
      <w:r>
        <w:rPr>
          <w:highlight w:val="white"/>
        </w:rPr>
        <w:t>Пациент ____________________________________________________________________</w:t>
      </w:r>
      <w:r>
        <w:br/>
      </w:r>
      <w:r>
        <w:rPr>
          <w:highlight w:val="white"/>
        </w:rPr>
        <w:t xml:space="preserve">ФИО </w:t>
      </w:r>
      <w:r>
        <w:rPr>
          <w:highlight w:val="white"/>
        </w:rPr>
        <w:t>_</w:t>
      </w:r>
      <w:r>
        <w:rPr>
          <w:highlight w:val="white"/>
        </w:rPr>
        <w:t>______________________________________________________________________</w:t>
      </w:r>
      <w:r>
        <w:br/>
      </w:r>
      <w:r>
        <w:rPr>
          <w:highlight w:val="white"/>
        </w:rPr>
        <w:t>получая разъяснения по поводу диагноза кариес, получил информацию:</w:t>
      </w:r>
      <w:r>
        <w:br/>
      </w:r>
      <w:r>
        <w:rPr>
          <w:highlight w:val="white"/>
        </w:rPr>
        <w:t>об особенностях течения заболевания ___________________________________________</w:t>
      </w:r>
      <w:r>
        <w:br/>
      </w:r>
      <w:r>
        <w:rPr>
          <w:highlight w:val="white"/>
        </w:rPr>
        <w:t>вероятной длительности лечения_______________________________________________</w:t>
      </w:r>
      <w:r>
        <w:br/>
      </w:r>
      <w:r>
        <w:rPr>
          <w:highlight w:val="white"/>
        </w:rPr>
        <w:t>о вероятном прогнозе_________________________________________________________</w:t>
      </w:r>
      <w:r>
        <w:br/>
      </w:r>
      <w:r>
        <w:rPr>
          <w:highlight w:val="white"/>
        </w:rPr>
        <w:t>Пациенту предложен план обследования и лечения, включающий</w:t>
      </w:r>
      <w:r>
        <w:rPr>
          <w:highlight w:val="white"/>
        </w:rPr>
        <w:t xml:space="preserve"> ___</w:t>
      </w:r>
      <w:r>
        <w:rPr>
          <w:highlight w:val="white"/>
        </w:rPr>
        <w:t>________________</w:t>
      </w:r>
      <w:r>
        <w:rPr>
          <w:highlight w:val="white"/>
        </w:rPr>
        <w:br/>
      </w:r>
      <w:r>
        <w:rPr>
          <w:highlight w:val="white"/>
        </w:rPr>
        <w:t>____________________________________________________________________________</w:t>
      </w:r>
      <w:r>
        <w:br/>
      </w:r>
      <w:r>
        <w:rPr>
          <w:highlight w:val="white"/>
        </w:rPr>
        <w:t>Пациенту предложено</w:t>
      </w:r>
      <w:r>
        <w:rPr>
          <w:highlight w:val="white"/>
        </w:rPr>
        <w:t xml:space="preserve"> </w:t>
      </w:r>
      <w:r>
        <w:rPr>
          <w:highlight w:val="white"/>
        </w:rPr>
        <w:t>________________________________________________________</w:t>
      </w:r>
      <w:r>
        <w:br/>
      </w:r>
      <w:r>
        <w:rPr>
          <w:highlight w:val="white"/>
        </w:rPr>
        <w:t>из материалов _______________________________________________________________</w:t>
      </w:r>
      <w:r>
        <w:br/>
      </w:r>
      <w:r>
        <w:rPr>
          <w:highlight w:val="white"/>
        </w:rPr>
        <w:t>Примерная стоимость лечения составляет около__________________________________</w:t>
      </w:r>
      <w:r>
        <w:br/>
      </w:r>
      <w:r>
        <w:rPr>
          <w:highlight w:val="white"/>
        </w:rPr>
        <w:t>Пациенту известен прейскурант, принятый в клинике.</w:t>
      </w:r>
      <w:r>
        <w:br/>
      </w:r>
      <w:r>
        <w:rPr>
          <w:highlight w:val="white"/>
        </w:rPr>
        <w:t>Таким образом, пациент получил разъяснения о цели лечения и информацию о</w:t>
      </w:r>
      <w:r>
        <w:rPr>
          <w:highlight w:val="white"/>
        </w:rPr>
        <w:t xml:space="preserve"> п</w:t>
      </w:r>
      <w:r>
        <w:rPr>
          <w:highlight w:val="white"/>
        </w:rPr>
        <w:t>ланируемых методах</w:t>
      </w:r>
      <w:r>
        <w:rPr>
          <w:highlight w:val="white"/>
        </w:rPr>
        <w:t xml:space="preserve"> </w:t>
      </w:r>
      <w:r>
        <w:rPr>
          <w:highlight w:val="white"/>
        </w:rPr>
        <w:t>диагностики и лечения.</w:t>
      </w:r>
      <w:r>
        <w:rPr>
          <w:highlight w:val="white"/>
        </w:rPr>
        <w:t xml:space="preserve"> </w:t>
      </w:r>
      <w:r>
        <w:rPr>
          <w:highlight w:val="white"/>
        </w:rPr>
        <w:t>Пациент извещен о необходимости подготовки к лечению:</w:t>
      </w:r>
      <w:r>
        <w:rPr>
          <w:highlight w:val="white"/>
        </w:rPr>
        <w:t xml:space="preserve"> </w:t>
      </w:r>
      <w:r>
        <w:rPr>
          <w:highlight w:val="white"/>
        </w:rPr>
        <w:t>____________________________________________________________________________</w:t>
      </w:r>
      <w:r>
        <w:br/>
      </w:r>
      <w:r>
        <w:rPr>
          <w:highlight w:val="white"/>
        </w:rPr>
        <w:t>Пациент извещен о необходимости в ходе лечения</w:t>
      </w:r>
      <w:r>
        <w:br/>
      </w:r>
      <w:r>
        <w:rPr>
          <w:highlight w:val="white"/>
        </w:rPr>
        <w:t>____________________________________________________________________________</w:t>
      </w:r>
      <w:r>
        <w:br/>
      </w:r>
      <w:r>
        <w:rPr>
          <w:highlight w:val="white"/>
        </w:rPr>
        <w:t>получил указания и рекомендации по уходу за полостью рта.</w:t>
      </w:r>
    </w:p>
    <w:p w14:paraId="A8060000">
      <w:pPr>
        <w:pStyle w:val="Style_17"/>
        <w:widowControl w:val="1"/>
        <w:ind w:firstLine="0"/>
        <w:rPr>
          <w:highlight w:val="white"/>
        </w:rPr>
      </w:pPr>
      <w:r>
        <w:rPr>
          <w:highlight w:val="white"/>
        </w:rPr>
        <w:t>Пациент извещен, что несоблюдение им рекомендаций врача может отрицательно сказаться на состоянии здоровья.</w:t>
      </w:r>
      <w:r>
        <w:rPr>
          <w:highlight w:val="white"/>
        </w:rPr>
        <w:t xml:space="preserve"> </w:t>
      </w:r>
      <w:r>
        <w:rPr>
          <w:highlight w:val="white"/>
        </w:rPr>
        <w:t>Пациент получил информацию о типичных осложнениях, связанных с данным заболеванием, с не обходимыми диагностическими процедурами и с лечением.</w:t>
      </w:r>
      <w:r>
        <w:rPr>
          <w:highlight w:val="white"/>
        </w:rPr>
        <w:t xml:space="preserve"> </w:t>
      </w:r>
      <w:r>
        <w:rPr>
          <w:highlight w:val="white"/>
        </w:rPr>
        <w:t>Пациент извещен о вероятном течении заболевания и его осложнениях при отказе от лечения. 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w:t>
      </w:r>
      <w:r>
        <w:rPr>
          <w:highlight w:val="white"/>
        </w:rPr>
        <w:t xml:space="preserve"> </w:t>
      </w:r>
      <w:r>
        <w:rPr>
          <w:highlight w:val="white"/>
        </w:rPr>
        <w:t>Пациент получил информацию об альтернативных методах лечения, а также об их примерной стоимости.</w:t>
      </w:r>
    </w:p>
    <w:p w14:paraId="A9060000">
      <w:pPr>
        <w:pStyle w:val="Style_17"/>
        <w:widowControl w:val="1"/>
        <w:ind w:firstLine="0"/>
        <w:rPr>
          <w:highlight w:val="white"/>
        </w:rPr>
      </w:pPr>
    </w:p>
    <w:p w14:paraId="AA060000">
      <w:pPr>
        <w:pStyle w:val="Style_17"/>
        <w:widowControl w:val="1"/>
        <w:ind w:firstLine="0"/>
        <w:rPr>
          <w:highlight w:val="white"/>
        </w:rPr>
      </w:pPr>
      <w:r>
        <w:rPr>
          <w:highlight w:val="white"/>
        </w:rPr>
        <w:t>Беседу провел врач</w:t>
      </w:r>
      <w:r>
        <w:rPr>
          <w:highlight w:val="white"/>
        </w:rPr>
        <w:t xml:space="preserve"> </w:t>
      </w:r>
      <w:r>
        <w:rPr>
          <w:highlight w:val="white"/>
        </w:rPr>
        <w:t>________________________ (подпись врача).</w:t>
      </w:r>
    </w:p>
    <w:p w14:paraId="AB060000">
      <w:pPr>
        <w:pStyle w:val="Style_17"/>
        <w:widowControl w:val="1"/>
        <w:ind w:firstLine="0"/>
        <w:rPr>
          <w:highlight w:val="white"/>
        </w:rPr>
      </w:pPr>
      <w:r>
        <w:rPr>
          <w:highlight w:val="white"/>
        </w:rPr>
        <w:t>«___»________________200___г.</w:t>
      </w:r>
      <w:r>
        <w:br/>
      </w:r>
      <w:r>
        <w:br/>
      </w:r>
      <w:r>
        <w:rPr>
          <w:highlight w:val="white"/>
        </w:rPr>
        <w:t>Пациент согласился с предложенным планом лечения, в чем</w:t>
      </w:r>
      <w:r>
        <w:rPr>
          <w:highlight w:val="white"/>
        </w:rPr>
        <w:t xml:space="preserve"> </w:t>
      </w:r>
      <w:r>
        <w:rPr>
          <w:highlight w:val="white"/>
        </w:rPr>
        <w:t>расписался собственноручно</w:t>
      </w:r>
      <w:r>
        <w:rPr>
          <w:highlight w:val="white"/>
        </w:rPr>
        <w:t xml:space="preserve"> _____________</w:t>
      </w:r>
      <w:r>
        <w:rPr>
          <w:highlight w:val="white"/>
        </w:rPr>
        <w:t>_______________________________</w:t>
      </w:r>
      <w:r>
        <w:rPr>
          <w:highlight w:val="white"/>
        </w:rPr>
        <w:t xml:space="preserve"> </w:t>
      </w:r>
      <w:r>
        <w:rPr>
          <w:highlight w:val="white"/>
        </w:rPr>
        <w:t>(подпись пациента)</w:t>
      </w:r>
      <w:r>
        <w:rPr>
          <w:highlight w:val="white"/>
        </w:rPr>
        <w:t xml:space="preserve"> </w:t>
      </w:r>
      <w:r>
        <w:rPr>
          <w:highlight w:val="white"/>
        </w:rPr>
        <w:t>или</w:t>
      </w:r>
      <w:r>
        <w:rPr>
          <w:highlight w:val="white"/>
        </w:rPr>
        <w:t xml:space="preserve"> </w:t>
      </w:r>
      <w:r>
        <w:rPr>
          <w:highlight w:val="white"/>
        </w:rPr>
        <w:t>расписался его законный представитель</w:t>
      </w:r>
      <w:r>
        <w:rPr>
          <w:highlight w:val="white"/>
        </w:rPr>
        <w:t xml:space="preserve"> </w:t>
      </w:r>
      <w:r>
        <w:rPr>
          <w:highlight w:val="white"/>
        </w:rPr>
        <w:t>__________________________________________________</w:t>
      </w:r>
      <w:r>
        <w:rPr>
          <w:highlight w:val="white"/>
        </w:rPr>
        <w:t xml:space="preserve"> </w:t>
      </w:r>
      <w:r>
        <w:rPr>
          <w:highlight w:val="white"/>
        </w:rPr>
        <w:t>(подпись законного представителя)</w:t>
      </w:r>
      <w:r>
        <w:rPr>
          <w:highlight w:val="white"/>
        </w:rPr>
        <w:t xml:space="preserve"> </w:t>
      </w:r>
      <w:r>
        <w:rPr>
          <w:highlight w:val="white"/>
        </w:rPr>
        <w:t>или</w:t>
      </w:r>
      <w:r>
        <w:rPr>
          <w:highlight w:val="white"/>
        </w:rPr>
        <w:t xml:space="preserve"> </w:t>
      </w:r>
      <w:r>
        <w:rPr>
          <w:highlight w:val="white"/>
        </w:rPr>
        <w:t>что удостоверяют присутствовавшие при беседе__________________________________________________</w:t>
      </w:r>
      <w:r>
        <w:rPr>
          <w:highlight w:val="white"/>
        </w:rPr>
        <w:t xml:space="preserve"> </w:t>
      </w:r>
      <w:r>
        <w:rPr>
          <w:highlight w:val="white"/>
        </w:rPr>
        <w:t>(подпись врача)</w:t>
      </w:r>
      <w:r>
        <w:rPr>
          <w:highlight w:val="white"/>
        </w:rPr>
        <w:t xml:space="preserve"> </w:t>
      </w:r>
      <w:r>
        <w:rPr>
          <w:highlight w:val="white"/>
        </w:rPr>
        <w:t>_______________________________________________________</w:t>
      </w:r>
      <w:r>
        <w:rPr>
          <w:highlight w:val="white"/>
        </w:rPr>
        <w:t xml:space="preserve"> </w:t>
      </w:r>
      <w:r>
        <w:rPr>
          <w:highlight w:val="white"/>
        </w:rPr>
        <w:t>(подпись свидетеля)</w:t>
      </w:r>
      <w:r>
        <w:rPr>
          <w:highlight w:val="white"/>
        </w:rPr>
        <w:t xml:space="preserve">. </w:t>
      </w:r>
      <w:r>
        <w:rPr>
          <w:highlight w:val="white"/>
        </w:rPr>
        <w:t>Пациент не согласился с планом лечения, в чем расписался собственноручно</w:t>
      </w:r>
      <w:r>
        <w:rPr>
          <w:highlight w:val="white"/>
        </w:rPr>
        <w:t xml:space="preserve"> _________________________________________ </w:t>
      </w:r>
      <w:r>
        <w:rPr>
          <w:highlight w:val="white"/>
        </w:rPr>
        <w:t>(подпись пациента)</w:t>
      </w:r>
      <w:r>
        <w:rPr>
          <w:highlight w:val="white"/>
        </w:rPr>
        <w:t xml:space="preserve"> </w:t>
      </w:r>
      <w:r>
        <w:rPr>
          <w:highlight w:val="white"/>
        </w:rPr>
        <w:t>или расписался его законный представитель_____________________________________________</w:t>
      </w:r>
      <w:r>
        <w:rPr>
          <w:highlight w:val="white"/>
        </w:rPr>
        <w:t xml:space="preserve"> </w:t>
      </w:r>
      <w:r>
        <w:rPr>
          <w:highlight w:val="white"/>
        </w:rPr>
        <w:t>(подпись законного представителя)</w:t>
      </w:r>
      <w:r>
        <w:rPr>
          <w:highlight w:val="white"/>
        </w:rPr>
        <w:t xml:space="preserve"> </w:t>
      </w:r>
      <w:r>
        <w:rPr>
          <w:highlight w:val="white"/>
        </w:rPr>
        <w:t>или</w:t>
      </w:r>
      <w:r>
        <w:rPr>
          <w:highlight w:val="white"/>
        </w:rPr>
        <w:t xml:space="preserve"> </w:t>
      </w:r>
      <w:r>
        <w:rPr>
          <w:highlight w:val="white"/>
        </w:rPr>
        <w:t>что удостоверяют присутствовавшие при беседе_________________________________________</w:t>
      </w:r>
      <w:r>
        <w:rPr>
          <w:highlight w:val="white"/>
        </w:rPr>
        <w:t xml:space="preserve"> </w:t>
      </w:r>
      <w:r>
        <w:rPr>
          <w:highlight w:val="white"/>
        </w:rPr>
        <w:t>(подпись врача)</w:t>
      </w:r>
      <w:r>
        <w:rPr>
          <w:highlight w:val="white"/>
        </w:rPr>
        <w:t xml:space="preserve"> </w:t>
      </w:r>
      <w:r>
        <w:rPr>
          <w:highlight w:val="white"/>
        </w:rPr>
        <w:t>____________________________________________</w:t>
      </w:r>
      <w:r>
        <w:rPr>
          <w:highlight w:val="white"/>
        </w:rPr>
        <w:t xml:space="preserve"> </w:t>
      </w:r>
      <w:r>
        <w:rPr>
          <w:highlight w:val="white"/>
        </w:rPr>
        <w:t>(подпись свидетеля)</w:t>
      </w:r>
      <w:r>
        <w:rPr>
          <w:highlight w:val="white"/>
        </w:rPr>
        <w:t>.</w:t>
      </w:r>
    </w:p>
    <w:p w14:paraId="AC060000">
      <w:pPr>
        <w:pStyle w:val="Style_17"/>
        <w:widowControl w:val="1"/>
        <w:ind w:firstLine="0"/>
        <w:rPr>
          <w:highlight w:val="white"/>
        </w:rPr>
      </w:pPr>
      <w:r>
        <w:rPr>
          <w:highlight w:val="white"/>
        </w:rPr>
        <w:t>Пациент изъявил желание</w:t>
      </w:r>
      <w:r>
        <w:rPr>
          <w:highlight w:val="white"/>
        </w:rPr>
        <w:t>:</w:t>
      </w:r>
    </w:p>
    <w:p w14:paraId="AD060000">
      <w:pPr>
        <w:pStyle w:val="Style_17"/>
        <w:numPr>
          <w:ilvl w:val="0"/>
          <w:numId w:val="16"/>
        </w:numPr>
        <w:rPr>
          <w:highlight w:val="white"/>
        </w:rPr>
      </w:pPr>
      <w:r>
        <w:rPr>
          <w:highlight w:val="white"/>
        </w:rPr>
        <w:t>дополнительно к предложенному лечению пройти обследование</w:t>
      </w:r>
    </w:p>
    <w:p w14:paraId="AE060000">
      <w:pPr>
        <w:pStyle w:val="Style_17"/>
        <w:numPr>
          <w:ilvl w:val="0"/>
          <w:numId w:val="16"/>
        </w:numPr>
        <w:rPr>
          <w:highlight w:val="white"/>
        </w:rPr>
      </w:pPr>
      <w:r>
        <w:rPr>
          <w:highlight w:val="white"/>
        </w:rPr>
        <w:t>получить дополнительную медицинскую услугу</w:t>
      </w:r>
    </w:p>
    <w:p w14:paraId="AF060000">
      <w:pPr>
        <w:pStyle w:val="Style_17"/>
        <w:numPr>
          <w:ilvl w:val="0"/>
          <w:numId w:val="16"/>
        </w:numPr>
        <w:rPr>
          <w:highlight w:val="white"/>
        </w:rPr>
      </w:pPr>
      <w:r>
        <w:rPr>
          <w:highlight w:val="white"/>
        </w:rPr>
        <w:t>вместо предложенного материала пломбы получить</w:t>
      </w:r>
      <w:r>
        <w:rPr>
          <w:highlight w:val="white"/>
        </w:rPr>
        <w:t xml:space="preserve"> _________________________.</w:t>
      </w:r>
    </w:p>
    <w:p w14:paraId="B0060000">
      <w:pPr>
        <w:pStyle w:val="Style_17"/>
        <w:widowControl w:val="1"/>
        <w:ind w:firstLine="0"/>
        <w:rPr>
          <w:highlight w:val="white"/>
        </w:rPr>
      </w:pPr>
      <w:r>
        <w:rPr>
          <w:highlight w:val="white"/>
        </w:rPr>
        <w:t>Пациент получил информацию об указанном методе обследования/лечения.</w:t>
      </w:r>
      <w:r>
        <w:rPr>
          <w:highlight w:val="white"/>
        </w:rPr>
        <w:t xml:space="preserve"> </w:t>
      </w:r>
      <w:r>
        <w:rPr>
          <w:highlight w:val="white"/>
        </w:rPr>
        <w:t>Поскольку данный метод обследования/лечения также показан пациенту, он внесен в план лечения.</w:t>
      </w:r>
      <w:r>
        <w:br/>
      </w:r>
    </w:p>
    <w:p w14:paraId="B1060000">
      <w:pPr>
        <w:pStyle w:val="Style_17"/>
        <w:widowControl w:val="1"/>
        <w:ind w:firstLine="0"/>
        <w:rPr>
          <w:highlight w:val="white"/>
        </w:rPr>
      </w:pPr>
      <w:r>
        <w:rPr>
          <w:highlight w:val="white"/>
        </w:rPr>
        <w:t>«___»</w:t>
      </w:r>
      <w:r>
        <w:rPr>
          <w:highlight w:val="white"/>
        </w:rPr>
        <w:t> </w:t>
      </w:r>
      <w:r>
        <w:rPr>
          <w:highlight w:val="white"/>
        </w:rPr>
        <w:t>___________________20____г.              _________________________________</w:t>
      </w:r>
    </w:p>
    <w:p w14:paraId="B2060000">
      <w:pPr>
        <w:pStyle w:val="Style_17"/>
        <w:widowControl w:val="1"/>
        <w:ind w:firstLine="708" w:left="4956"/>
        <w:rPr>
          <w:highlight w:val="white"/>
        </w:rPr>
      </w:pPr>
      <w:r>
        <w:rPr>
          <w:highlight w:val="white"/>
        </w:rPr>
        <w:t>(подпись пациента)</w:t>
      </w:r>
    </w:p>
    <w:p w14:paraId="B3060000">
      <w:pPr>
        <w:pStyle w:val="Style_17"/>
        <w:widowControl w:val="1"/>
        <w:ind w:firstLine="0"/>
        <w:rPr>
          <w:highlight w:val="white"/>
        </w:rPr>
      </w:pPr>
      <w:r>
        <w:rPr>
          <w:highlight w:val="white"/>
        </w:rPr>
        <w:t>«___»</w:t>
      </w:r>
      <w:r>
        <w:rPr>
          <w:highlight w:val="white"/>
        </w:rPr>
        <w:t> </w:t>
      </w:r>
      <w:r>
        <w:rPr>
          <w:highlight w:val="white"/>
        </w:rPr>
        <w:t>___________________20____г.              _________________________________</w:t>
      </w:r>
    </w:p>
    <w:p w14:paraId="B4060000">
      <w:pPr>
        <w:pStyle w:val="Style_17"/>
        <w:widowControl w:val="1"/>
        <w:ind w:firstLine="708" w:left="4956"/>
        <w:rPr>
          <w:highlight w:val="white"/>
        </w:rPr>
      </w:pPr>
      <w:r>
        <w:rPr>
          <w:highlight w:val="white"/>
        </w:rPr>
        <w:t xml:space="preserve">(подпись </w:t>
      </w:r>
      <w:r>
        <w:rPr>
          <w:highlight w:val="white"/>
        </w:rPr>
        <w:t>врача-стоматолога</w:t>
      </w:r>
      <w:r>
        <w:rPr>
          <w:highlight w:val="white"/>
        </w:rPr>
        <w:t>)</w:t>
      </w:r>
    </w:p>
    <w:p w14:paraId="B5060000">
      <w:pPr>
        <w:pStyle w:val="Style_17"/>
        <w:widowControl w:val="1"/>
        <w:ind w:firstLine="0"/>
      </w:pPr>
    </w:p>
    <w:p w14:paraId="B6060000">
      <w:pPr>
        <w:pStyle w:val="Style_17"/>
        <w:widowControl w:val="1"/>
        <w:ind w:firstLine="0"/>
        <w:rPr>
          <w:highlight w:val="white"/>
        </w:rPr>
      </w:pPr>
      <w:r>
        <w:rPr>
          <w:highlight w:val="white"/>
        </w:rPr>
        <w:t>Поскольку данный метод обследования/лечения не показан пациенту, он не внесен в план лечения.</w:t>
      </w:r>
      <w:r>
        <w:br/>
      </w:r>
      <w:r>
        <w:rPr>
          <w:highlight w:val="white"/>
        </w:rPr>
        <w:t>«___»</w:t>
      </w:r>
      <w:r>
        <w:rPr>
          <w:highlight w:val="white"/>
        </w:rPr>
        <w:t> </w:t>
      </w:r>
      <w:r>
        <w:rPr>
          <w:highlight w:val="white"/>
        </w:rPr>
        <w:t>___________________20____г.              _________________________________</w:t>
      </w:r>
    </w:p>
    <w:p w14:paraId="B7060000">
      <w:pPr>
        <w:pStyle w:val="Style_17"/>
        <w:widowControl w:val="1"/>
        <w:ind w:firstLine="708" w:left="4956"/>
        <w:rPr>
          <w:highlight w:val="white"/>
        </w:rPr>
      </w:pPr>
      <w:r>
        <w:rPr>
          <w:highlight w:val="white"/>
        </w:rPr>
        <w:t>(подпись пациента)</w:t>
      </w:r>
    </w:p>
    <w:p w14:paraId="B8060000">
      <w:pPr>
        <w:pStyle w:val="Style_17"/>
        <w:widowControl w:val="1"/>
        <w:ind w:firstLine="0"/>
        <w:rPr>
          <w:highlight w:val="white"/>
        </w:rPr>
      </w:pPr>
      <w:r>
        <w:rPr>
          <w:highlight w:val="white"/>
        </w:rPr>
        <w:t>«___»</w:t>
      </w:r>
      <w:r>
        <w:rPr>
          <w:highlight w:val="white"/>
        </w:rPr>
        <w:t> </w:t>
      </w:r>
      <w:r>
        <w:rPr>
          <w:highlight w:val="white"/>
        </w:rPr>
        <w:t>___________________20____г.              _________________________________</w:t>
      </w:r>
    </w:p>
    <w:p w14:paraId="B9060000">
      <w:pPr>
        <w:pStyle w:val="Style_17"/>
        <w:widowControl w:val="1"/>
        <w:ind w:firstLine="708" w:left="4956"/>
        <w:rPr>
          <w:highlight w:val="white"/>
        </w:rPr>
      </w:pPr>
      <w:r>
        <w:rPr>
          <w:highlight w:val="white"/>
        </w:rPr>
        <w:t xml:space="preserve">(подпись </w:t>
      </w:r>
      <w:r>
        <w:rPr>
          <w:highlight w:val="white"/>
        </w:rPr>
        <w:t>врача-стоматолога</w:t>
      </w:r>
      <w:r>
        <w:rPr>
          <w:highlight w:val="white"/>
        </w:rPr>
        <w:t>)</w:t>
      </w:r>
      <w:bookmarkEnd w:id="76"/>
    </w:p>
    <w:p w14:paraId="BA060000">
      <w:pPr>
        <w:sectPr>
          <w:footerReference r:id="rId3" w:type="default"/>
          <w:pgSz w:h="16838" w:orient="portrait" w:w="11906"/>
          <w:pgMar w:bottom="1134" w:footer="397" w:gutter="0" w:header="397" w:left="1701" w:right="850" w:top="1134"/>
          <w:titlePg/>
        </w:sectPr>
      </w:pPr>
    </w:p>
    <w:p w14:paraId="BB060000">
      <w:pPr>
        <w:widowControl w:val="1"/>
        <w:spacing w:line="240" w:lineRule="auto"/>
        <w:ind w:firstLine="0"/>
        <w:jc w:val="center"/>
        <w:rPr>
          <w:b w:val="1"/>
          <w:color w:val="000000"/>
        </w:rPr>
      </w:pPr>
      <w:bookmarkStart w:id="78" w:name="_Hlk92836774"/>
      <w:r>
        <w:rPr>
          <w:b w:val="1"/>
          <w:color w:val="000000"/>
        </w:rPr>
        <w:t>Приложение Г 4</w:t>
      </w:r>
    </w:p>
    <w:p w14:paraId="BC060000">
      <w:pPr>
        <w:widowControl w:val="1"/>
        <w:spacing w:line="240" w:lineRule="auto"/>
        <w:ind w:firstLine="0"/>
        <w:jc w:val="center"/>
        <w:rPr>
          <w:b w:val="1"/>
          <w:color w:val="000000"/>
        </w:rPr>
      </w:pPr>
    </w:p>
    <w:p w14:paraId="BD060000">
      <w:pPr>
        <w:widowControl w:val="1"/>
        <w:spacing w:line="240" w:lineRule="auto"/>
        <w:ind w:firstLine="0"/>
        <w:jc w:val="center"/>
        <w:rPr>
          <w:rFonts w:ascii="YS Text" w:hAnsi="YS Text"/>
          <w:color w:val="000000"/>
          <w:sz w:val="23"/>
        </w:rPr>
      </w:pPr>
      <w:r>
        <w:rPr>
          <w:color w:val="000000"/>
          <w:sz w:val="20"/>
        </w:rPr>
        <w:t>По решению Всемирной Организации Здравоохранения во всех медицинских учреждениях развитых стран введена анкета о здоровье пациента</w:t>
      </w:r>
      <w:r>
        <w:rPr>
          <w:rFonts w:ascii="YS Text" w:hAnsi="YS Text"/>
          <w:color w:val="000000"/>
          <w:sz w:val="23"/>
        </w:rPr>
        <w:t>.</w:t>
      </w:r>
    </w:p>
    <w:p w14:paraId="BE060000">
      <w:pPr>
        <w:widowControl w:val="1"/>
        <w:spacing w:line="240" w:lineRule="auto"/>
        <w:ind w:firstLine="0"/>
        <w:jc w:val="center"/>
        <w:rPr>
          <w:rFonts w:ascii="YS Text" w:hAnsi="YS Text"/>
          <w:b w:val="1"/>
          <w:color w:val="000000"/>
          <w:sz w:val="23"/>
        </w:rPr>
      </w:pPr>
      <w:r>
        <w:rPr>
          <w:rFonts w:ascii="YS Text" w:hAnsi="YS Text"/>
          <w:b w:val="1"/>
          <w:color w:val="000000"/>
          <w:sz w:val="23"/>
        </w:rPr>
        <w:t>Анкета о здоровье</w:t>
      </w:r>
    </w:p>
    <w:p w14:paraId="BF060000">
      <w:pPr>
        <w:widowControl w:val="1"/>
        <w:spacing w:line="240" w:lineRule="auto"/>
        <w:ind w:firstLine="0"/>
        <w:jc w:val="left"/>
        <w:rPr>
          <w:rFonts w:ascii="YS Text" w:hAnsi="YS Text"/>
          <w:b w:val="1"/>
          <w:color w:val="000000"/>
          <w:sz w:val="23"/>
        </w:rPr>
      </w:pPr>
      <w:r>
        <w:rPr>
          <w:rFonts w:ascii="YS Text" w:hAnsi="YS Text"/>
          <w:b w:val="1"/>
          <w:color w:val="000000"/>
          <w:sz w:val="23"/>
        </w:rPr>
        <w:t>Уважаемый пациент!</w:t>
      </w:r>
    </w:p>
    <w:p w14:paraId="C0060000">
      <w:pPr>
        <w:widowControl w:val="1"/>
        <w:spacing w:line="240" w:lineRule="auto"/>
        <w:ind w:firstLine="0"/>
        <w:jc w:val="left"/>
        <w:rPr>
          <w:color w:val="000000"/>
          <w:sz w:val="20"/>
        </w:rPr>
      </w:pPr>
      <w:r>
        <w:rPr>
          <w:color w:val="000000"/>
          <w:sz w:val="20"/>
        </w:rPr>
        <w:t>Врачу необходима информация о состоянии Вашего здоровья в целях обеспечения успешного и безопасного решения Ваших стоматологических проблем, так как процесс лечения и его ближайшие и отдаленные результаты могут быть связаны с заболеваниями различных органов и систем, приемом лекарств, физиологическими особенностями организма.</w:t>
      </w:r>
    </w:p>
    <w:p w14:paraId="C1060000">
      <w:pPr>
        <w:widowControl w:val="1"/>
        <w:spacing w:line="240" w:lineRule="auto"/>
        <w:ind w:firstLine="0"/>
        <w:jc w:val="left"/>
        <w:rPr>
          <w:color w:val="000000"/>
          <w:sz w:val="23"/>
        </w:rPr>
      </w:pPr>
      <w:r>
        <w:rPr>
          <w:color w:val="000000"/>
          <w:sz w:val="23"/>
        </w:rPr>
        <w:t xml:space="preserve">         </w:t>
      </w:r>
      <w:r>
        <w:rPr>
          <w:color w:val="000000"/>
          <w:sz w:val="23"/>
        </w:rPr>
        <w:t>Внимательно</w:t>
      </w:r>
      <w:r>
        <w:rPr>
          <w:color w:val="000000"/>
          <w:sz w:val="23"/>
        </w:rPr>
        <w:t xml:space="preserve"> </w:t>
      </w:r>
      <w:r>
        <w:rPr>
          <w:color w:val="000000"/>
          <w:sz w:val="23"/>
        </w:rPr>
        <w:t>заполните</w:t>
      </w:r>
      <w:r>
        <w:rPr>
          <w:color w:val="000000"/>
          <w:sz w:val="23"/>
        </w:rPr>
        <w:t xml:space="preserve"> </w:t>
      </w:r>
      <w:r>
        <w:rPr>
          <w:color w:val="000000"/>
          <w:sz w:val="23"/>
        </w:rPr>
        <w:t>предлагаемую</w:t>
      </w:r>
      <w:r>
        <w:rPr>
          <w:color w:val="000000"/>
          <w:sz w:val="23"/>
        </w:rPr>
        <w:t xml:space="preserve"> </w:t>
      </w:r>
      <w:r>
        <w:rPr>
          <w:color w:val="000000"/>
          <w:sz w:val="23"/>
        </w:rPr>
        <w:t>анкету</w:t>
      </w:r>
      <w:r>
        <w:rPr>
          <w:color w:val="000000"/>
          <w:sz w:val="23"/>
        </w:rPr>
        <w:t xml:space="preserve">. </w:t>
      </w:r>
      <w:r>
        <w:rPr>
          <w:color w:val="000000"/>
          <w:sz w:val="23"/>
        </w:rPr>
        <w:t>Мы</w:t>
      </w:r>
      <w:r>
        <w:rPr>
          <w:color w:val="000000"/>
          <w:sz w:val="23"/>
        </w:rPr>
        <w:t xml:space="preserve"> </w:t>
      </w:r>
      <w:r>
        <w:rPr>
          <w:color w:val="000000"/>
          <w:sz w:val="23"/>
        </w:rPr>
        <w:t>гарантируем</w:t>
      </w:r>
      <w:r>
        <w:rPr>
          <w:color w:val="000000"/>
          <w:sz w:val="23"/>
        </w:rPr>
        <w:t xml:space="preserve">, </w:t>
      </w:r>
      <w:r>
        <w:rPr>
          <w:color w:val="000000"/>
          <w:sz w:val="23"/>
        </w:rPr>
        <w:t>что</w:t>
      </w:r>
      <w:r>
        <w:rPr>
          <w:color w:val="000000"/>
          <w:sz w:val="23"/>
        </w:rPr>
        <w:t xml:space="preserve"> </w:t>
      </w:r>
      <w:r>
        <w:rPr>
          <w:color w:val="000000"/>
          <w:sz w:val="23"/>
        </w:rPr>
        <w:t>сведения</w:t>
      </w:r>
      <w:r>
        <w:rPr>
          <w:color w:val="000000"/>
          <w:sz w:val="23"/>
        </w:rPr>
        <w:t xml:space="preserve">, </w:t>
      </w:r>
      <w:r>
        <w:rPr>
          <w:color w:val="000000"/>
          <w:sz w:val="23"/>
        </w:rPr>
        <w:t>указанные</w:t>
      </w:r>
      <w:r>
        <w:rPr>
          <w:color w:val="000000"/>
          <w:sz w:val="23"/>
        </w:rPr>
        <w:t xml:space="preserve"> </w:t>
      </w:r>
      <w:r>
        <w:rPr>
          <w:color w:val="000000"/>
          <w:sz w:val="23"/>
        </w:rPr>
        <w:t>Вами</w:t>
      </w:r>
      <w:r>
        <w:rPr>
          <w:color w:val="000000"/>
          <w:sz w:val="23"/>
        </w:rPr>
        <w:t xml:space="preserve"> </w:t>
      </w:r>
      <w:r>
        <w:rPr>
          <w:color w:val="000000"/>
          <w:sz w:val="23"/>
        </w:rPr>
        <w:t>в</w:t>
      </w:r>
      <w:r>
        <w:rPr>
          <w:color w:val="000000"/>
          <w:sz w:val="23"/>
        </w:rPr>
        <w:t xml:space="preserve"> </w:t>
      </w:r>
      <w:r>
        <w:rPr>
          <w:color w:val="000000"/>
          <w:sz w:val="23"/>
        </w:rPr>
        <w:t>анкете</w:t>
      </w:r>
      <w:r>
        <w:rPr>
          <w:color w:val="000000"/>
          <w:sz w:val="23"/>
        </w:rPr>
        <w:t xml:space="preserve">, </w:t>
      </w:r>
      <w:r>
        <w:rPr>
          <w:color w:val="000000"/>
          <w:sz w:val="23"/>
        </w:rPr>
        <w:t>будут</w:t>
      </w:r>
      <w:r>
        <w:rPr>
          <w:color w:val="000000"/>
          <w:sz w:val="23"/>
        </w:rPr>
        <w:t xml:space="preserve"> </w:t>
      </w:r>
      <w:r>
        <w:rPr>
          <w:color w:val="000000"/>
          <w:sz w:val="23"/>
        </w:rPr>
        <w:t>использованы</w:t>
      </w:r>
      <w:r>
        <w:rPr>
          <w:color w:val="000000"/>
          <w:sz w:val="23"/>
        </w:rPr>
        <w:t xml:space="preserve"> </w:t>
      </w:r>
      <w:r>
        <w:rPr>
          <w:color w:val="000000"/>
          <w:sz w:val="23"/>
        </w:rPr>
        <w:t>только</w:t>
      </w:r>
      <w:r>
        <w:rPr>
          <w:color w:val="000000"/>
          <w:sz w:val="23"/>
        </w:rPr>
        <w:t xml:space="preserve"> </w:t>
      </w:r>
      <w:r>
        <w:rPr>
          <w:color w:val="000000"/>
          <w:sz w:val="23"/>
        </w:rPr>
        <w:t>в</w:t>
      </w:r>
      <w:r>
        <w:rPr>
          <w:color w:val="000000"/>
          <w:sz w:val="23"/>
        </w:rPr>
        <w:t xml:space="preserve"> </w:t>
      </w:r>
      <w:r>
        <w:rPr>
          <w:color w:val="000000"/>
          <w:sz w:val="23"/>
        </w:rPr>
        <w:t>целях</w:t>
      </w:r>
      <w:r>
        <w:rPr>
          <w:color w:val="000000"/>
          <w:sz w:val="23"/>
        </w:rPr>
        <w:t xml:space="preserve"> </w:t>
      </w:r>
      <w:r>
        <w:rPr>
          <w:color w:val="000000"/>
          <w:sz w:val="23"/>
        </w:rPr>
        <w:t>лечения</w:t>
      </w:r>
      <w:r>
        <w:rPr>
          <w:color w:val="000000"/>
          <w:sz w:val="23"/>
        </w:rPr>
        <w:t xml:space="preserve"> </w:t>
      </w:r>
      <w:r>
        <w:rPr>
          <w:color w:val="000000"/>
          <w:sz w:val="23"/>
        </w:rPr>
        <w:t>и</w:t>
      </w:r>
      <w:r>
        <w:rPr>
          <w:color w:val="000000"/>
          <w:sz w:val="23"/>
        </w:rPr>
        <w:t xml:space="preserve"> </w:t>
      </w:r>
      <w:r>
        <w:rPr>
          <w:color w:val="000000"/>
          <w:sz w:val="23"/>
        </w:rPr>
        <w:t>профилактики</w:t>
      </w:r>
      <w:r>
        <w:rPr>
          <w:color w:val="000000"/>
          <w:sz w:val="23"/>
        </w:rPr>
        <w:t xml:space="preserve"> </w:t>
      </w:r>
      <w:r>
        <w:rPr>
          <w:color w:val="000000"/>
          <w:sz w:val="23"/>
        </w:rPr>
        <w:t>и</w:t>
      </w:r>
      <w:r>
        <w:rPr>
          <w:color w:val="000000"/>
          <w:sz w:val="23"/>
        </w:rPr>
        <w:t xml:space="preserve"> </w:t>
      </w:r>
      <w:r>
        <w:rPr>
          <w:color w:val="000000"/>
          <w:sz w:val="23"/>
        </w:rPr>
        <w:t>не</w:t>
      </w:r>
      <w:r>
        <w:rPr>
          <w:color w:val="000000"/>
          <w:sz w:val="23"/>
        </w:rPr>
        <w:t xml:space="preserve"> </w:t>
      </w:r>
      <w:r>
        <w:rPr>
          <w:color w:val="000000"/>
          <w:sz w:val="23"/>
        </w:rPr>
        <w:t>будут</w:t>
      </w:r>
      <w:r>
        <w:rPr>
          <w:color w:val="000000"/>
          <w:sz w:val="23"/>
        </w:rPr>
        <w:t xml:space="preserve"> </w:t>
      </w:r>
      <w:r>
        <w:rPr>
          <w:color w:val="000000"/>
          <w:sz w:val="23"/>
        </w:rPr>
        <w:t>доступны</w:t>
      </w:r>
      <w:r>
        <w:rPr>
          <w:color w:val="000000"/>
          <w:sz w:val="23"/>
        </w:rPr>
        <w:t xml:space="preserve"> </w:t>
      </w:r>
      <w:r>
        <w:rPr>
          <w:color w:val="000000"/>
          <w:sz w:val="23"/>
        </w:rPr>
        <w:t>посторонним</w:t>
      </w:r>
      <w:r>
        <w:rPr>
          <w:color w:val="000000"/>
          <w:sz w:val="23"/>
        </w:rPr>
        <w:t xml:space="preserve"> </w:t>
      </w:r>
      <w:r>
        <w:rPr>
          <w:color w:val="000000"/>
          <w:sz w:val="23"/>
        </w:rPr>
        <w:t>лицам</w:t>
      </w:r>
      <w:r>
        <w:rPr>
          <w:color w:val="000000"/>
          <w:sz w:val="23"/>
        </w:rPr>
        <w:t>.</w:t>
      </w:r>
    </w:p>
    <w:p w14:paraId="C2060000">
      <w:pPr>
        <w:widowControl w:val="1"/>
        <w:spacing w:line="240" w:lineRule="auto"/>
        <w:ind w:firstLine="0"/>
        <w:jc w:val="left"/>
        <w:rPr>
          <w:color w:val="000000"/>
          <w:sz w:val="23"/>
        </w:rPr>
      </w:pPr>
      <w:r>
        <w:rPr>
          <w:color w:val="000000"/>
          <w:sz w:val="23"/>
        </w:rPr>
        <w:t>Фамилия</w:t>
      </w:r>
      <w:r>
        <w:rPr>
          <w:color w:val="000000"/>
          <w:sz w:val="23"/>
        </w:rPr>
        <w:t xml:space="preserve"> _______________________________________________________</w:t>
      </w:r>
    </w:p>
    <w:p w14:paraId="C3060000">
      <w:pPr>
        <w:widowControl w:val="1"/>
        <w:spacing w:line="240" w:lineRule="auto"/>
        <w:ind w:firstLine="0"/>
        <w:jc w:val="left"/>
        <w:rPr>
          <w:color w:val="000000"/>
          <w:sz w:val="23"/>
        </w:rPr>
      </w:pPr>
      <w:r>
        <w:rPr>
          <w:color w:val="000000"/>
          <w:sz w:val="23"/>
        </w:rPr>
        <w:t>Имя</w:t>
      </w:r>
      <w:r>
        <w:rPr>
          <w:color w:val="000000"/>
          <w:sz w:val="23"/>
        </w:rPr>
        <w:t xml:space="preserve">, </w:t>
      </w:r>
      <w:r>
        <w:rPr>
          <w:color w:val="000000"/>
          <w:sz w:val="23"/>
        </w:rPr>
        <w:t>отчество</w:t>
      </w:r>
      <w:r>
        <w:rPr>
          <w:color w:val="000000"/>
          <w:sz w:val="23"/>
        </w:rPr>
        <w:t xml:space="preserve"> ___________________________________________________</w:t>
      </w:r>
    </w:p>
    <w:p w14:paraId="C4060000">
      <w:pPr>
        <w:widowControl w:val="1"/>
        <w:spacing w:line="240" w:lineRule="auto"/>
        <w:ind w:firstLine="0"/>
        <w:jc w:val="left"/>
        <w:rPr>
          <w:color w:val="000000"/>
          <w:sz w:val="23"/>
        </w:rPr>
      </w:pPr>
      <w:r>
        <w:rPr>
          <w:color w:val="000000"/>
          <w:sz w:val="23"/>
        </w:rPr>
        <w:t>Дата</w:t>
      </w:r>
      <w:r>
        <w:rPr>
          <w:color w:val="000000"/>
          <w:sz w:val="23"/>
        </w:rPr>
        <w:t xml:space="preserve"> </w:t>
      </w:r>
      <w:r>
        <w:rPr>
          <w:color w:val="000000"/>
          <w:sz w:val="23"/>
        </w:rPr>
        <w:t>рождения</w:t>
      </w:r>
      <w:r>
        <w:rPr>
          <w:color w:val="000000"/>
          <w:sz w:val="23"/>
        </w:rPr>
        <w:t xml:space="preserve"> ______/______/___________</w:t>
      </w:r>
    </w:p>
    <w:p w14:paraId="C5060000">
      <w:pPr>
        <w:widowControl w:val="1"/>
        <w:spacing w:line="240" w:lineRule="auto"/>
        <w:ind w:firstLine="0"/>
        <w:jc w:val="left"/>
        <w:rPr>
          <w:color w:val="000000"/>
          <w:sz w:val="23"/>
        </w:rPr>
      </w:pPr>
      <w:r>
        <w:rPr>
          <w:color w:val="000000"/>
          <w:sz w:val="23"/>
        </w:rPr>
        <w:t>Последнее</w:t>
      </w:r>
      <w:r>
        <w:rPr>
          <w:color w:val="000000"/>
          <w:sz w:val="23"/>
        </w:rPr>
        <w:t xml:space="preserve"> </w:t>
      </w:r>
      <w:r>
        <w:rPr>
          <w:color w:val="000000"/>
          <w:sz w:val="23"/>
        </w:rPr>
        <w:t>посещение</w:t>
      </w:r>
      <w:r>
        <w:rPr>
          <w:color w:val="000000"/>
          <w:sz w:val="23"/>
        </w:rPr>
        <w:t xml:space="preserve"> </w:t>
      </w:r>
      <w:r>
        <w:rPr>
          <w:color w:val="000000"/>
          <w:sz w:val="23"/>
        </w:rPr>
        <w:t>стоматолога</w:t>
      </w:r>
      <w:r>
        <w:rPr>
          <w:color w:val="000000"/>
          <w:sz w:val="23"/>
        </w:rPr>
        <w:t xml:space="preserve"> </w:t>
      </w:r>
      <w:r>
        <w:rPr>
          <w:color w:val="000000"/>
          <w:sz w:val="23"/>
        </w:rPr>
        <w:t>проводилось</w:t>
      </w:r>
      <w:r>
        <w:rPr>
          <w:color w:val="000000"/>
          <w:sz w:val="23"/>
        </w:rPr>
        <w:t xml:space="preserve"> </w:t>
      </w:r>
      <w:r>
        <w:rPr>
          <w:color w:val="000000"/>
          <w:sz w:val="23"/>
        </w:rPr>
        <w:t>в</w:t>
      </w:r>
      <w:r>
        <w:rPr>
          <w:color w:val="000000"/>
          <w:sz w:val="23"/>
        </w:rPr>
        <w:t xml:space="preserve"> </w:t>
      </w:r>
      <w:r>
        <w:rPr>
          <w:color w:val="000000"/>
          <w:sz w:val="23"/>
        </w:rPr>
        <w:t>……………</w:t>
      </w:r>
      <w:r>
        <w:rPr>
          <w:color w:val="000000"/>
          <w:sz w:val="23"/>
        </w:rPr>
        <w:t xml:space="preserve"> </w:t>
      </w:r>
      <w:r>
        <w:rPr>
          <w:color w:val="000000"/>
          <w:sz w:val="23"/>
        </w:rPr>
        <w:t>году</w:t>
      </w:r>
      <w:r>
        <w:rPr>
          <w:color w:val="000000"/>
          <w:sz w:val="23"/>
        </w:rPr>
        <w:t xml:space="preserve">, </w:t>
      </w:r>
      <w:r>
        <w:rPr>
          <w:color w:val="000000"/>
          <w:sz w:val="23"/>
        </w:rPr>
        <w:t>в</w:t>
      </w:r>
      <w:r>
        <w:rPr>
          <w:color w:val="000000"/>
          <w:sz w:val="23"/>
        </w:rPr>
        <w:t xml:space="preserve"> </w:t>
      </w:r>
      <w:r>
        <w:rPr>
          <w:color w:val="000000"/>
          <w:sz w:val="23"/>
        </w:rPr>
        <w:t>клинике……………………</w:t>
      </w:r>
      <w:r>
        <w:rPr>
          <w:color w:val="000000"/>
          <w:sz w:val="23"/>
        </w:rPr>
        <w:t>.</w:t>
      </w:r>
    </w:p>
    <w:p w14:paraId="C6060000">
      <w:pPr>
        <w:widowControl w:val="1"/>
        <w:spacing w:line="240" w:lineRule="auto"/>
        <w:ind w:firstLine="0"/>
        <w:jc w:val="left"/>
        <w:rPr>
          <w:color w:val="000000"/>
          <w:sz w:val="23"/>
        </w:rPr>
      </w:pPr>
      <w:r>
        <w:rPr>
          <w:color w:val="000000"/>
          <w:sz w:val="23"/>
        </w:rPr>
        <w:t>Какую</w:t>
      </w:r>
      <w:r>
        <w:rPr>
          <w:color w:val="000000"/>
          <w:sz w:val="23"/>
        </w:rPr>
        <w:t xml:space="preserve"> </w:t>
      </w:r>
      <w:r>
        <w:rPr>
          <w:color w:val="000000"/>
          <w:sz w:val="23"/>
        </w:rPr>
        <w:t>стоматологическую</w:t>
      </w:r>
      <w:r>
        <w:rPr>
          <w:color w:val="000000"/>
          <w:sz w:val="23"/>
        </w:rPr>
        <w:t xml:space="preserve"> </w:t>
      </w:r>
      <w:r>
        <w:rPr>
          <w:color w:val="000000"/>
          <w:sz w:val="23"/>
        </w:rPr>
        <w:t>проблему</w:t>
      </w:r>
      <w:r>
        <w:rPr>
          <w:color w:val="000000"/>
          <w:sz w:val="23"/>
        </w:rPr>
        <w:t xml:space="preserve"> </w:t>
      </w:r>
      <w:r>
        <w:rPr>
          <w:color w:val="000000"/>
          <w:sz w:val="23"/>
        </w:rPr>
        <w:t>вы</w:t>
      </w:r>
      <w:r>
        <w:rPr>
          <w:color w:val="000000"/>
          <w:sz w:val="23"/>
        </w:rPr>
        <w:t xml:space="preserve"> </w:t>
      </w:r>
      <w:r>
        <w:rPr>
          <w:color w:val="000000"/>
          <w:sz w:val="23"/>
        </w:rPr>
        <w:t>хотели</w:t>
      </w:r>
      <w:r>
        <w:rPr>
          <w:color w:val="000000"/>
          <w:sz w:val="23"/>
        </w:rPr>
        <w:t xml:space="preserve"> </w:t>
      </w:r>
      <w:r>
        <w:rPr>
          <w:color w:val="000000"/>
          <w:sz w:val="23"/>
        </w:rPr>
        <w:t>бы</w:t>
      </w:r>
      <w:r>
        <w:rPr>
          <w:color w:val="000000"/>
          <w:sz w:val="23"/>
        </w:rPr>
        <w:t xml:space="preserve"> </w:t>
      </w:r>
      <w:r>
        <w:rPr>
          <w:color w:val="000000"/>
          <w:sz w:val="23"/>
        </w:rPr>
        <w:t>решить</w:t>
      </w:r>
      <w:r>
        <w:rPr>
          <w:color w:val="000000"/>
          <w:sz w:val="23"/>
        </w:rPr>
        <w:t>: (</w:t>
      </w:r>
      <w:r>
        <w:rPr>
          <w:color w:val="000000"/>
          <w:sz w:val="23"/>
        </w:rPr>
        <w:t>нужное</w:t>
      </w:r>
      <w:r>
        <w:rPr>
          <w:color w:val="000000"/>
          <w:sz w:val="23"/>
        </w:rPr>
        <w:t xml:space="preserve"> </w:t>
      </w:r>
      <w:r>
        <w:rPr>
          <w:color w:val="000000"/>
          <w:sz w:val="23"/>
        </w:rPr>
        <w:t>подчеркнуть</w:t>
      </w:r>
      <w:r>
        <w:rPr>
          <w:color w:val="000000"/>
          <w:sz w:val="23"/>
        </w:rPr>
        <w:t>)</w:t>
      </w:r>
    </w:p>
    <w:p w14:paraId="C7060000">
      <w:pPr>
        <w:widowControl w:val="1"/>
        <w:spacing w:line="240" w:lineRule="auto"/>
        <w:ind w:firstLine="0"/>
        <w:jc w:val="left"/>
        <w:rPr>
          <w:color w:val="000000"/>
          <w:sz w:val="23"/>
        </w:rPr>
      </w:pPr>
      <w:r>
        <w:rPr>
          <w:color w:val="000000"/>
          <w:sz w:val="23"/>
        </w:rPr>
        <w:t>а</w:t>
      </w:r>
      <w:r>
        <w:rPr>
          <w:color w:val="000000"/>
          <w:sz w:val="23"/>
        </w:rPr>
        <w:t xml:space="preserve">) </w:t>
      </w:r>
      <w:r>
        <w:rPr>
          <w:color w:val="000000"/>
          <w:sz w:val="23"/>
        </w:rPr>
        <w:t>лечение</w:t>
      </w:r>
      <w:r>
        <w:rPr>
          <w:color w:val="000000"/>
          <w:sz w:val="23"/>
        </w:rPr>
        <w:t xml:space="preserve"> </w:t>
      </w:r>
      <w:r>
        <w:rPr>
          <w:color w:val="000000"/>
          <w:sz w:val="23"/>
        </w:rPr>
        <w:t>зубов</w:t>
      </w:r>
      <w:r>
        <w:rPr>
          <w:color w:val="000000"/>
          <w:sz w:val="23"/>
        </w:rPr>
        <w:t xml:space="preserve">, </w:t>
      </w:r>
      <w:r>
        <w:rPr>
          <w:color w:val="000000"/>
          <w:sz w:val="23"/>
        </w:rPr>
        <w:t>б</w:t>
      </w:r>
      <w:r>
        <w:rPr>
          <w:color w:val="000000"/>
          <w:sz w:val="23"/>
        </w:rPr>
        <w:t xml:space="preserve">) </w:t>
      </w:r>
      <w:r>
        <w:rPr>
          <w:color w:val="000000"/>
          <w:sz w:val="23"/>
        </w:rPr>
        <w:t>лечение</w:t>
      </w:r>
      <w:r>
        <w:rPr>
          <w:color w:val="000000"/>
          <w:sz w:val="23"/>
        </w:rPr>
        <w:t xml:space="preserve"> </w:t>
      </w:r>
      <w:r>
        <w:rPr>
          <w:color w:val="000000"/>
          <w:sz w:val="23"/>
        </w:rPr>
        <w:t>десен</w:t>
      </w:r>
      <w:r>
        <w:rPr>
          <w:color w:val="000000"/>
          <w:sz w:val="23"/>
        </w:rPr>
        <w:t xml:space="preserve">, </w:t>
      </w:r>
      <w:r>
        <w:rPr>
          <w:color w:val="000000"/>
          <w:sz w:val="23"/>
        </w:rPr>
        <w:t>в</w:t>
      </w:r>
      <w:r>
        <w:rPr>
          <w:color w:val="000000"/>
          <w:sz w:val="23"/>
        </w:rPr>
        <w:t xml:space="preserve">) </w:t>
      </w:r>
      <w:r>
        <w:rPr>
          <w:color w:val="000000"/>
          <w:sz w:val="23"/>
        </w:rPr>
        <w:t>профилактический</w:t>
      </w:r>
      <w:r>
        <w:rPr>
          <w:color w:val="000000"/>
          <w:sz w:val="23"/>
        </w:rPr>
        <w:t xml:space="preserve"> </w:t>
      </w:r>
      <w:r>
        <w:rPr>
          <w:color w:val="000000"/>
          <w:sz w:val="23"/>
        </w:rPr>
        <w:t>осмотр</w:t>
      </w:r>
      <w:r>
        <w:rPr>
          <w:color w:val="000000"/>
          <w:sz w:val="23"/>
        </w:rPr>
        <w:t xml:space="preserve">/ </w:t>
      </w:r>
      <w:r>
        <w:rPr>
          <w:color w:val="000000"/>
          <w:sz w:val="23"/>
        </w:rPr>
        <w:t>гигиеническая</w:t>
      </w:r>
      <w:r>
        <w:rPr>
          <w:color w:val="000000"/>
          <w:sz w:val="23"/>
        </w:rPr>
        <w:t xml:space="preserve"> </w:t>
      </w:r>
      <w:r>
        <w:rPr>
          <w:color w:val="000000"/>
          <w:sz w:val="23"/>
        </w:rPr>
        <w:t>чистка</w:t>
      </w:r>
      <w:r>
        <w:rPr>
          <w:color w:val="000000"/>
          <w:sz w:val="23"/>
        </w:rPr>
        <w:t xml:space="preserve">, </w:t>
      </w:r>
      <w:r>
        <w:rPr>
          <w:color w:val="000000"/>
          <w:sz w:val="23"/>
        </w:rPr>
        <w:t>г</w:t>
      </w:r>
      <w:r>
        <w:rPr>
          <w:color w:val="000000"/>
          <w:sz w:val="23"/>
        </w:rPr>
        <w:t xml:space="preserve">) </w:t>
      </w:r>
      <w:r>
        <w:rPr>
          <w:color w:val="000000"/>
          <w:sz w:val="23"/>
        </w:rPr>
        <w:t>протезирование</w:t>
      </w:r>
      <w:r>
        <w:rPr>
          <w:color w:val="000000"/>
          <w:sz w:val="23"/>
        </w:rPr>
        <w:t xml:space="preserve">, </w:t>
      </w:r>
      <w:r>
        <w:rPr>
          <w:color w:val="000000"/>
          <w:sz w:val="23"/>
        </w:rPr>
        <w:t>д</w:t>
      </w:r>
      <w:r>
        <w:rPr>
          <w:color w:val="000000"/>
          <w:sz w:val="23"/>
        </w:rPr>
        <w:t xml:space="preserve">) </w:t>
      </w:r>
      <w:r>
        <w:rPr>
          <w:color w:val="000000"/>
          <w:sz w:val="23"/>
        </w:rPr>
        <w:t>имплантация</w:t>
      </w:r>
      <w:r>
        <w:rPr>
          <w:color w:val="000000"/>
          <w:sz w:val="23"/>
        </w:rPr>
        <w:t xml:space="preserve">, </w:t>
      </w:r>
      <w:r>
        <w:rPr>
          <w:color w:val="000000"/>
          <w:sz w:val="23"/>
        </w:rPr>
        <w:t>е</w:t>
      </w:r>
      <w:r>
        <w:rPr>
          <w:color w:val="000000"/>
          <w:sz w:val="23"/>
        </w:rPr>
        <w:t xml:space="preserve">) </w:t>
      </w:r>
      <w:r>
        <w:rPr>
          <w:color w:val="000000"/>
          <w:sz w:val="23"/>
        </w:rPr>
        <w:t>лечение</w:t>
      </w:r>
      <w:r>
        <w:rPr>
          <w:color w:val="000000"/>
          <w:sz w:val="23"/>
        </w:rPr>
        <w:t xml:space="preserve"> </w:t>
      </w:r>
      <w:r>
        <w:rPr>
          <w:color w:val="000000"/>
          <w:sz w:val="23"/>
        </w:rPr>
        <w:t>брекет</w:t>
      </w:r>
      <w:r>
        <w:rPr>
          <w:color w:val="000000"/>
          <w:sz w:val="23"/>
        </w:rPr>
        <w:t xml:space="preserve"> </w:t>
      </w:r>
      <w:r>
        <w:rPr>
          <w:color w:val="000000"/>
          <w:sz w:val="23"/>
        </w:rPr>
        <w:t>–</w:t>
      </w:r>
      <w:r>
        <w:rPr>
          <w:color w:val="000000"/>
          <w:sz w:val="23"/>
        </w:rPr>
        <w:t xml:space="preserve"> </w:t>
      </w:r>
      <w:r>
        <w:rPr>
          <w:color w:val="000000"/>
          <w:sz w:val="23"/>
        </w:rPr>
        <w:t>системой</w:t>
      </w:r>
      <w:r>
        <w:rPr>
          <w:color w:val="000000"/>
          <w:sz w:val="23"/>
        </w:rPr>
        <w:t xml:space="preserve">, </w:t>
      </w:r>
      <w:r>
        <w:rPr>
          <w:color w:val="000000"/>
          <w:sz w:val="23"/>
        </w:rPr>
        <w:t>ж</w:t>
      </w:r>
      <w:r>
        <w:rPr>
          <w:color w:val="000000"/>
          <w:sz w:val="23"/>
        </w:rPr>
        <w:t xml:space="preserve">) </w:t>
      </w:r>
      <w:r>
        <w:rPr>
          <w:color w:val="000000"/>
          <w:sz w:val="23"/>
        </w:rPr>
        <w:t>эстетическая</w:t>
      </w:r>
      <w:r>
        <w:rPr>
          <w:color w:val="000000"/>
          <w:sz w:val="23"/>
        </w:rPr>
        <w:t xml:space="preserve"> </w:t>
      </w:r>
      <w:r>
        <w:rPr>
          <w:color w:val="000000"/>
          <w:sz w:val="23"/>
        </w:rPr>
        <w:t>реставрация</w:t>
      </w:r>
      <w:r>
        <w:rPr>
          <w:color w:val="000000"/>
          <w:sz w:val="23"/>
        </w:rPr>
        <w:t xml:space="preserve"> </w:t>
      </w:r>
      <w:r>
        <w:rPr>
          <w:color w:val="000000"/>
          <w:sz w:val="23"/>
        </w:rPr>
        <w:t>зубов</w:t>
      </w:r>
    </w:p>
    <w:tbl>
      <w:tblPr>
        <w:tblStyle w:val="Style_32"/>
        <w:tblW w:type="auto" w:w="0"/>
        <w:tblLayout w:type="fixed"/>
      </w:tblPr>
      <w:tblGrid>
        <w:gridCol w:w="491"/>
        <w:gridCol w:w="6875"/>
        <w:gridCol w:w="851"/>
        <w:gridCol w:w="851"/>
      </w:tblGrid>
      <w:tr>
        <w:tc>
          <w:tcPr>
            <w:tcW w:type="dxa" w:w="491"/>
          </w:tcPr>
          <w:p w14:paraId="C8060000">
            <w:pPr>
              <w:widowControl w:val="1"/>
              <w:spacing w:line="240" w:lineRule="auto"/>
              <w:ind w:firstLine="0"/>
              <w:jc w:val="left"/>
              <w:rPr>
                <w:color w:val="000000"/>
                <w:sz w:val="23"/>
              </w:rPr>
            </w:pPr>
          </w:p>
        </w:tc>
        <w:tc>
          <w:tcPr>
            <w:tcW w:type="dxa" w:w="6875"/>
          </w:tcPr>
          <w:p w14:paraId="C9060000">
            <w:pPr>
              <w:widowControl w:val="1"/>
              <w:spacing w:line="240" w:lineRule="auto"/>
              <w:ind w:firstLine="0"/>
              <w:jc w:val="left"/>
              <w:rPr>
                <w:color w:val="000000"/>
                <w:sz w:val="23"/>
              </w:rPr>
            </w:pPr>
            <w:r>
              <w:rPr>
                <w:color w:val="000000"/>
                <w:sz w:val="23"/>
              </w:rPr>
              <w:t>Вирусный</w:t>
            </w:r>
            <w:r>
              <w:rPr>
                <w:color w:val="000000"/>
                <w:sz w:val="23"/>
              </w:rPr>
              <w:t xml:space="preserve"> </w:t>
            </w:r>
            <w:r>
              <w:rPr>
                <w:color w:val="000000"/>
                <w:sz w:val="23"/>
              </w:rPr>
              <w:t>гепатит</w:t>
            </w:r>
            <w:r>
              <w:rPr>
                <w:color w:val="000000"/>
                <w:sz w:val="23"/>
              </w:rPr>
              <w:t xml:space="preserve"> </w:t>
            </w:r>
          </w:p>
          <w:p w14:paraId="CA060000">
            <w:pPr>
              <w:widowControl w:val="1"/>
              <w:spacing w:line="240" w:lineRule="auto"/>
              <w:ind w:firstLine="0"/>
              <w:jc w:val="left"/>
              <w:rPr>
                <w:color w:val="000000"/>
                <w:sz w:val="23"/>
              </w:rPr>
            </w:pPr>
            <w:r>
              <w:rPr>
                <w:color w:val="000000"/>
                <w:sz w:val="23"/>
              </w:rPr>
              <w:t>Если</w:t>
            </w:r>
            <w:r>
              <w:rPr>
                <w:color w:val="000000"/>
                <w:sz w:val="23"/>
              </w:rPr>
              <w:t xml:space="preserve"> </w:t>
            </w:r>
            <w:r>
              <w:rPr>
                <w:color w:val="000000"/>
                <w:sz w:val="23"/>
              </w:rPr>
              <w:t>да</w:t>
            </w:r>
            <w:r>
              <w:rPr>
                <w:color w:val="000000"/>
                <w:sz w:val="23"/>
              </w:rPr>
              <w:t xml:space="preserve">, </w:t>
            </w:r>
            <w:r>
              <w:rPr>
                <w:color w:val="000000"/>
                <w:sz w:val="23"/>
              </w:rPr>
              <w:t>то</w:t>
            </w:r>
            <w:r>
              <w:rPr>
                <w:color w:val="000000"/>
                <w:sz w:val="23"/>
              </w:rPr>
              <w:t xml:space="preserve"> </w:t>
            </w:r>
            <w:r>
              <w:rPr>
                <w:color w:val="000000"/>
                <w:sz w:val="23"/>
              </w:rPr>
              <w:t>какого</w:t>
            </w:r>
            <w:r>
              <w:rPr>
                <w:color w:val="000000"/>
                <w:sz w:val="23"/>
              </w:rPr>
              <w:t xml:space="preserve"> </w:t>
            </w:r>
            <w:r>
              <w:rPr>
                <w:color w:val="000000"/>
                <w:sz w:val="23"/>
              </w:rPr>
              <w:t>типа</w:t>
            </w:r>
            <w:r>
              <w:rPr>
                <w:color w:val="000000"/>
                <w:sz w:val="23"/>
              </w:rPr>
              <w:t xml:space="preserve"> </w:t>
            </w:r>
            <w:r>
              <w:rPr>
                <w:color w:val="000000"/>
                <w:sz w:val="23"/>
              </w:rPr>
              <w:t>«</w:t>
            </w:r>
            <w:r>
              <w:rPr>
                <w:color w:val="000000"/>
                <w:sz w:val="23"/>
              </w:rPr>
              <w:t xml:space="preserve"> </w:t>
            </w:r>
            <w:r>
              <w:rPr>
                <w:color w:val="000000"/>
                <w:sz w:val="23"/>
              </w:rPr>
              <w:t>»и</w:t>
            </w:r>
            <w:r>
              <w:rPr>
                <w:color w:val="000000"/>
                <w:sz w:val="23"/>
              </w:rPr>
              <w:t xml:space="preserve"> </w:t>
            </w:r>
            <w:r>
              <w:rPr>
                <w:color w:val="000000"/>
                <w:sz w:val="23"/>
              </w:rPr>
              <w:t>когда</w:t>
            </w:r>
            <w:r>
              <w:rPr>
                <w:color w:val="000000"/>
                <w:sz w:val="23"/>
              </w:rPr>
              <w:t xml:space="preserve"> </w:t>
            </w:r>
            <w:r>
              <w:rPr>
                <w:color w:val="000000"/>
                <w:sz w:val="23"/>
              </w:rPr>
              <w:t>………………………</w:t>
            </w:r>
          </w:p>
        </w:tc>
        <w:tc>
          <w:tcPr>
            <w:tcW w:type="dxa" w:w="851"/>
          </w:tcPr>
          <w:p w14:paraId="CB060000">
            <w:pPr>
              <w:widowControl w:val="1"/>
              <w:spacing w:line="240" w:lineRule="auto"/>
              <w:ind w:firstLine="0"/>
              <w:jc w:val="left"/>
              <w:rPr>
                <w:color w:val="000000"/>
                <w:sz w:val="23"/>
              </w:rPr>
            </w:pPr>
            <w:r>
              <w:rPr>
                <w:color w:val="000000"/>
                <w:sz w:val="23"/>
              </w:rPr>
              <w:t>ДА</w:t>
            </w:r>
          </w:p>
          <w:p w14:paraId="CC060000">
            <w:pPr>
              <w:widowControl w:val="1"/>
              <w:spacing w:line="240" w:lineRule="auto"/>
              <w:ind w:firstLine="123" w:left="-123"/>
              <w:jc w:val="left"/>
              <w:rPr>
                <w:color w:val="000000"/>
                <w:sz w:val="23"/>
              </w:rPr>
            </w:pPr>
          </w:p>
        </w:tc>
        <w:tc>
          <w:tcPr>
            <w:tcW w:type="dxa" w:w="851"/>
          </w:tcPr>
          <w:p w14:paraId="CD060000">
            <w:pPr>
              <w:widowControl w:val="1"/>
              <w:spacing w:line="240" w:lineRule="auto"/>
              <w:ind w:firstLine="0"/>
              <w:jc w:val="left"/>
              <w:rPr>
                <w:color w:val="000000"/>
                <w:sz w:val="23"/>
              </w:rPr>
            </w:pPr>
            <w:r>
              <w:rPr>
                <w:color w:val="000000"/>
                <w:sz w:val="23"/>
              </w:rPr>
              <w:t>НЕТ</w:t>
            </w:r>
          </w:p>
        </w:tc>
      </w:tr>
      <w:tr>
        <w:tc>
          <w:tcPr>
            <w:tcW w:type="dxa" w:w="491"/>
          </w:tcPr>
          <w:p w14:paraId="CE060000">
            <w:pPr>
              <w:widowControl w:val="1"/>
              <w:spacing w:line="240" w:lineRule="auto"/>
              <w:ind w:firstLine="0"/>
              <w:jc w:val="left"/>
              <w:rPr>
                <w:color w:val="000000"/>
                <w:sz w:val="23"/>
              </w:rPr>
            </w:pPr>
          </w:p>
        </w:tc>
        <w:tc>
          <w:tcPr>
            <w:tcW w:type="dxa" w:w="6875"/>
          </w:tcPr>
          <w:p w14:paraId="CF060000">
            <w:pPr>
              <w:widowControl w:val="1"/>
              <w:spacing w:line="240" w:lineRule="auto"/>
              <w:ind w:firstLine="0"/>
              <w:jc w:val="left"/>
              <w:rPr>
                <w:color w:val="000000"/>
                <w:sz w:val="23"/>
              </w:rPr>
            </w:pPr>
            <w:r>
              <w:rPr>
                <w:color w:val="000000"/>
                <w:sz w:val="23"/>
              </w:rPr>
              <w:t>Туберкулез</w:t>
            </w:r>
          </w:p>
        </w:tc>
        <w:tc>
          <w:tcPr>
            <w:tcW w:type="dxa" w:w="851"/>
          </w:tcPr>
          <w:p w14:paraId="D0060000">
            <w:pPr>
              <w:widowControl w:val="1"/>
              <w:spacing w:line="240" w:lineRule="auto"/>
              <w:ind w:firstLine="123" w:left="-123"/>
              <w:jc w:val="left"/>
              <w:rPr>
                <w:color w:val="000000"/>
                <w:sz w:val="23"/>
              </w:rPr>
            </w:pPr>
            <w:r>
              <w:rPr>
                <w:color w:val="000000"/>
                <w:sz w:val="23"/>
              </w:rPr>
              <w:t>ДА</w:t>
            </w:r>
          </w:p>
        </w:tc>
        <w:tc>
          <w:tcPr>
            <w:tcW w:type="dxa" w:w="851"/>
          </w:tcPr>
          <w:p w14:paraId="D1060000">
            <w:pPr>
              <w:widowControl w:val="1"/>
              <w:spacing w:line="240" w:lineRule="auto"/>
              <w:ind w:firstLine="0"/>
              <w:jc w:val="left"/>
              <w:rPr>
                <w:color w:val="000000"/>
                <w:sz w:val="23"/>
              </w:rPr>
            </w:pPr>
            <w:r>
              <w:rPr>
                <w:color w:val="000000"/>
                <w:sz w:val="23"/>
              </w:rPr>
              <w:t>НЕТ</w:t>
            </w:r>
          </w:p>
        </w:tc>
      </w:tr>
      <w:tr>
        <w:tc>
          <w:tcPr>
            <w:tcW w:type="dxa" w:w="491"/>
          </w:tcPr>
          <w:p w14:paraId="D2060000">
            <w:pPr>
              <w:widowControl w:val="1"/>
              <w:spacing w:line="240" w:lineRule="auto"/>
              <w:ind w:firstLine="0"/>
              <w:jc w:val="left"/>
              <w:rPr>
                <w:color w:val="000000"/>
                <w:sz w:val="23"/>
              </w:rPr>
            </w:pPr>
          </w:p>
        </w:tc>
        <w:tc>
          <w:tcPr>
            <w:tcW w:type="dxa" w:w="6875"/>
          </w:tcPr>
          <w:p w14:paraId="D3060000">
            <w:pPr>
              <w:widowControl w:val="1"/>
              <w:spacing w:line="240" w:lineRule="auto"/>
              <w:ind w:firstLine="0"/>
              <w:jc w:val="left"/>
              <w:rPr>
                <w:color w:val="000000"/>
                <w:sz w:val="23"/>
              </w:rPr>
            </w:pPr>
            <w:r>
              <w:rPr>
                <w:color w:val="000000"/>
                <w:sz w:val="23"/>
              </w:rPr>
              <w:t>Эпилепсия</w:t>
            </w:r>
            <w:r>
              <w:rPr>
                <w:color w:val="000000"/>
                <w:sz w:val="23"/>
              </w:rPr>
              <w:t xml:space="preserve"> </w:t>
            </w:r>
            <w:r>
              <w:rPr>
                <w:color w:val="000000"/>
                <w:sz w:val="23"/>
              </w:rPr>
              <w:t>и</w:t>
            </w:r>
            <w:r>
              <w:rPr>
                <w:color w:val="000000"/>
                <w:sz w:val="23"/>
              </w:rPr>
              <w:t xml:space="preserve"> </w:t>
            </w:r>
            <w:r>
              <w:rPr>
                <w:color w:val="000000"/>
                <w:sz w:val="23"/>
              </w:rPr>
              <w:t>др</w:t>
            </w:r>
            <w:r>
              <w:rPr>
                <w:color w:val="000000"/>
                <w:sz w:val="23"/>
              </w:rPr>
              <w:t xml:space="preserve">. </w:t>
            </w:r>
            <w:r>
              <w:rPr>
                <w:color w:val="000000"/>
                <w:sz w:val="23"/>
              </w:rPr>
              <w:t>заболевания</w:t>
            </w:r>
            <w:r>
              <w:rPr>
                <w:color w:val="000000"/>
                <w:sz w:val="23"/>
              </w:rPr>
              <w:t xml:space="preserve"> </w:t>
            </w:r>
            <w:r>
              <w:rPr>
                <w:color w:val="000000"/>
                <w:sz w:val="23"/>
              </w:rPr>
              <w:t>центральной</w:t>
            </w:r>
            <w:r>
              <w:rPr>
                <w:color w:val="000000"/>
                <w:sz w:val="23"/>
              </w:rPr>
              <w:t xml:space="preserve"> </w:t>
            </w:r>
            <w:r>
              <w:rPr>
                <w:color w:val="000000"/>
                <w:sz w:val="23"/>
              </w:rPr>
              <w:t>и</w:t>
            </w:r>
            <w:r>
              <w:rPr>
                <w:color w:val="000000"/>
                <w:sz w:val="23"/>
              </w:rPr>
              <w:t xml:space="preserve"> </w:t>
            </w:r>
            <w:r>
              <w:rPr>
                <w:color w:val="000000"/>
                <w:sz w:val="23"/>
              </w:rPr>
              <w:t>периферической</w:t>
            </w:r>
            <w:r>
              <w:rPr>
                <w:color w:val="000000"/>
                <w:sz w:val="23"/>
              </w:rPr>
              <w:t xml:space="preserve"> </w:t>
            </w:r>
            <w:r>
              <w:rPr>
                <w:color w:val="000000"/>
                <w:sz w:val="23"/>
              </w:rPr>
              <w:t>нервной</w:t>
            </w:r>
            <w:r>
              <w:rPr>
                <w:color w:val="000000"/>
                <w:sz w:val="23"/>
              </w:rPr>
              <w:t xml:space="preserve"> </w:t>
            </w:r>
            <w:r>
              <w:rPr>
                <w:color w:val="000000"/>
                <w:sz w:val="23"/>
              </w:rPr>
              <w:t>системы</w:t>
            </w:r>
          </w:p>
        </w:tc>
        <w:tc>
          <w:tcPr>
            <w:tcW w:type="dxa" w:w="851"/>
          </w:tcPr>
          <w:p w14:paraId="D4060000">
            <w:pPr>
              <w:widowControl w:val="1"/>
              <w:spacing w:line="240" w:lineRule="auto"/>
              <w:ind w:firstLine="123" w:left="-123"/>
              <w:jc w:val="left"/>
              <w:rPr>
                <w:color w:val="000000"/>
                <w:sz w:val="23"/>
              </w:rPr>
            </w:pPr>
            <w:r>
              <w:rPr>
                <w:color w:val="000000"/>
                <w:sz w:val="23"/>
              </w:rPr>
              <w:t>ДА</w:t>
            </w:r>
          </w:p>
          <w:p w14:paraId="D5060000">
            <w:pPr>
              <w:widowControl w:val="1"/>
              <w:spacing w:line="240" w:lineRule="auto"/>
              <w:ind w:firstLine="123" w:left="-123"/>
              <w:jc w:val="left"/>
              <w:rPr>
                <w:color w:val="000000"/>
                <w:sz w:val="23"/>
              </w:rPr>
            </w:pPr>
          </w:p>
        </w:tc>
        <w:tc>
          <w:tcPr>
            <w:tcW w:type="dxa" w:w="851"/>
          </w:tcPr>
          <w:p w14:paraId="D6060000">
            <w:pPr>
              <w:widowControl w:val="1"/>
              <w:spacing w:line="240" w:lineRule="auto"/>
              <w:ind w:firstLine="0"/>
              <w:jc w:val="left"/>
              <w:rPr>
                <w:color w:val="000000"/>
                <w:sz w:val="23"/>
              </w:rPr>
            </w:pPr>
            <w:r>
              <w:rPr>
                <w:color w:val="000000"/>
                <w:sz w:val="23"/>
              </w:rPr>
              <w:t>НЕТ</w:t>
            </w:r>
          </w:p>
        </w:tc>
      </w:tr>
      <w:tr>
        <w:tc>
          <w:tcPr>
            <w:tcW w:type="dxa" w:w="491"/>
          </w:tcPr>
          <w:p w14:paraId="D7060000">
            <w:pPr>
              <w:widowControl w:val="1"/>
              <w:spacing w:line="240" w:lineRule="auto"/>
              <w:ind w:firstLine="0"/>
              <w:jc w:val="left"/>
              <w:rPr>
                <w:color w:val="000000"/>
                <w:sz w:val="23"/>
              </w:rPr>
            </w:pPr>
          </w:p>
        </w:tc>
        <w:tc>
          <w:tcPr>
            <w:tcW w:type="dxa" w:w="6875"/>
          </w:tcPr>
          <w:p w14:paraId="D8060000">
            <w:pPr>
              <w:widowControl w:val="1"/>
              <w:spacing w:line="240" w:lineRule="auto"/>
              <w:ind w:firstLine="0"/>
              <w:jc w:val="left"/>
              <w:rPr>
                <w:color w:val="000000"/>
                <w:sz w:val="23"/>
              </w:rPr>
            </w:pPr>
            <w:r>
              <w:rPr>
                <w:color w:val="000000"/>
                <w:sz w:val="23"/>
              </w:rPr>
              <w:t>Нарушение</w:t>
            </w:r>
            <w:r>
              <w:rPr>
                <w:color w:val="000000"/>
                <w:sz w:val="23"/>
              </w:rPr>
              <w:t xml:space="preserve"> </w:t>
            </w:r>
            <w:r>
              <w:rPr>
                <w:color w:val="000000"/>
                <w:sz w:val="23"/>
              </w:rPr>
              <w:t>свертываемости</w:t>
            </w:r>
            <w:r>
              <w:rPr>
                <w:color w:val="000000"/>
                <w:sz w:val="23"/>
              </w:rPr>
              <w:t xml:space="preserve"> </w:t>
            </w:r>
            <w:r>
              <w:rPr>
                <w:color w:val="000000"/>
                <w:sz w:val="23"/>
              </w:rPr>
              <w:t>крови</w:t>
            </w:r>
          </w:p>
        </w:tc>
        <w:tc>
          <w:tcPr>
            <w:tcW w:type="dxa" w:w="851"/>
          </w:tcPr>
          <w:p w14:paraId="D9060000">
            <w:pPr>
              <w:widowControl w:val="1"/>
              <w:spacing w:line="240" w:lineRule="auto"/>
              <w:ind w:firstLine="123" w:left="-123"/>
              <w:jc w:val="left"/>
              <w:rPr>
                <w:color w:val="000000"/>
                <w:sz w:val="23"/>
              </w:rPr>
            </w:pPr>
            <w:r>
              <w:rPr>
                <w:color w:val="000000"/>
                <w:sz w:val="23"/>
              </w:rPr>
              <w:t>ДА</w:t>
            </w:r>
          </w:p>
        </w:tc>
        <w:tc>
          <w:tcPr>
            <w:tcW w:type="dxa" w:w="851"/>
          </w:tcPr>
          <w:p w14:paraId="DA060000">
            <w:pPr>
              <w:widowControl w:val="1"/>
              <w:spacing w:line="240" w:lineRule="auto"/>
              <w:ind w:firstLine="0"/>
              <w:jc w:val="left"/>
              <w:rPr>
                <w:color w:val="000000"/>
                <w:sz w:val="23"/>
              </w:rPr>
            </w:pPr>
            <w:r>
              <w:rPr>
                <w:color w:val="000000"/>
                <w:sz w:val="23"/>
              </w:rPr>
              <w:t>НЕТ</w:t>
            </w:r>
          </w:p>
        </w:tc>
      </w:tr>
      <w:tr>
        <w:tc>
          <w:tcPr>
            <w:tcW w:type="dxa" w:w="491"/>
          </w:tcPr>
          <w:p w14:paraId="DB060000">
            <w:pPr>
              <w:widowControl w:val="1"/>
              <w:spacing w:line="240" w:lineRule="auto"/>
              <w:ind w:firstLine="0"/>
              <w:jc w:val="left"/>
              <w:rPr>
                <w:color w:val="000000"/>
                <w:sz w:val="23"/>
              </w:rPr>
            </w:pPr>
          </w:p>
        </w:tc>
        <w:tc>
          <w:tcPr>
            <w:tcW w:type="dxa" w:w="6875"/>
          </w:tcPr>
          <w:p w14:paraId="DC060000">
            <w:pPr>
              <w:widowControl w:val="1"/>
              <w:spacing w:line="240" w:lineRule="auto"/>
              <w:ind w:firstLine="0"/>
              <w:jc w:val="left"/>
              <w:rPr>
                <w:color w:val="000000"/>
              </w:rPr>
            </w:pPr>
            <w:r>
              <w:t>Заболевания ЛОР органов (уха, горла, носа)</w:t>
            </w:r>
          </w:p>
        </w:tc>
        <w:tc>
          <w:tcPr>
            <w:tcW w:type="dxa" w:w="851"/>
          </w:tcPr>
          <w:p w14:paraId="DD060000">
            <w:pPr>
              <w:widowControl w:val="1"/>
              <w:spacing w:line="240" w:lineRule="auto"/>
              <w:ind w:firstLine="123" w:left="-123"/>
              <w:jc w:val="left"/>
              <w:rPr>
                <w:color w:val="000000"/>
                <w:sz w:val="23"/>
              </w:rPr>
            </w:pPr>
            <w:r>
              <w:rPr>
                <w:color w:val="000000"/>
                <w:sz w:val="23"/>
              </w:rPr>
              <w:t>ДА</w:t>
            </w:r>
          </w:p>
        </w:tc>
        <w:tc>
          <w:tcPr>
            <w:tcW w:type="dxa" w:w="851"/>
          </w:tcPr>
          <w:p w14:paraId="DE060000">
            <w:pPr>
              <w:widowControl w:val="1"/>
              <w:spacing w:line="240" w:lineRule="auto"/>
              <w:ind w:firstLine="0"/>
              <w:jc w:val="left"/>
              <w:rPr>
                <w:color w:val="000000"/>
                <w:sz w:val="23"/>
              </w:rPr>
            </w:pPr>
            <w:r>
              <w:rPr>
                <w:color w:val="000000"/>
                <w:sz w:val="23"/>
              </w:rPr>
              <w:t>НЕТ</w:t>
            </w:r>
          </w:p>
        </w:tc>
      </w:tr>
      <w:tr>
        <w:tc>
          <w:tcPr>
            <w:tcW w:type="dxa" w:w="491"/>
          </w:tcPr>
          <w:p w14:paraId="DF060000">
            <w:pPr>
              <w:widowControl w:val="1"/>
              <w:spacing w:line="240" w:lineRule="auto"/>
              <w:ind w:firstLine="0"/>
              <w:jc w:val="left"/>
              <w:rPr>
                <w:color w:val="000000"/>
                <w:sz w:val="23"/>
              </w:rPr>
            </w:pPr>
          </w:p>
        </w:tc>
        <w:tc>
          <w:tcPr>
            <w:tcW w:type="dxa" w:w="6875"/>
          </w:tcPr>
          <w:p w14:paraId="E0060000">
            <w:pPr>
              <w:widowControl w:val="1"/>
              <w:spacing w:line="240" w:lineRule="auto"/>
              <w:ind w:firstLine="0"/>
              <w:jc w:val="left"/>
              <w:rPr>
                <w:color w:val="000000"/>
                <w:sz w:val="23"/>
              </w:rPr>
            </w:pPr>
            <w:r>
              <w:rPr>
                <w:color w:val="000000"/>
                <w:sz w:val="23"/>
              </w:rPr>
              <w:t>Повышение</w:t>
            </w:r>
            <w:r>
              <w:rPr>
                <w:color w:val="000000"/>
                <w:sz w:val="23"/>
              </w:rPr>
              <w:t xml:space="preserve"> </w:t>
            </w:r>
            <w:r>
              <w:rPr>
                <w:color w:val="000000"/>
                <w:sz w:val="23"/>
              </w:rPr>
              <w:t>или</w:t>
            </w:r>
            <w:r>
              <w:rPr>
                <w:color w:val="000000"/>
                <w:sz w:val="23"/>
              </w:rPr>
              <w:t xml:space="preserve"> </w:t>
            </w:r>
            <w:r>
              <w:rPr>
                <w:color w:val="000000"/>
                <w:sz w:val="23"/>
              </w:rPr>
              <w:t>понижение</w:t>
            </w:r>
            <w:r>
              <w:rPr>
                <w:color w:val="000000"/>
                <w:sz w:val="23"/>
              </w:rPr>
              <w:t xml:space="preserve"> </w:t>
            </w:r>
            <w:r>
              <w:rPr>
                <w:color w:val="000000"/>
                <w:sz w:val="23"/>
              </w:rPr>
              <w:t>артериального</w:t>
            </w:r>
            <w:r>
              <w:rPr>
                <w:color w:val="000000"/>
                <w:sz w:val="23"/>
              </w:rPr>
              <w:t xml:space="preserve"> </w:t>
            </w:r>
            <w:r>
              <w:rPr>
                <w:color w:val="000000"/>
                <w:sz w:val="23"/>
              </w:rPr>
              <w:t>давления</w:t>
            </w:r>
          </w:p>
        </w:tc>
        <w:tc>
          <w:tcPr>
            <w:tcW w:type="dxa" w:w="851"/>
          </w:tcPr>
          <w:p w14:paraId="E1060000">
            <w:pPr>
              <w:widowControl w:val="1"/>
              <w:spacing w:line="240" w:lineRule="auto"/>
              <w:ind w:firstLine="123" w:left="-123"/>
              <w:jc w:val="left"/>
              <w:rPr>
                <w:color w:val="000000"/>
                <w:sz w:val="23"/>
              </w:rPr>
            </w:pPr>
            <w:r>
              <w:rPr>
                <w:color w:val="000000"/>
                <w:sz w:val="23"/>
              </w:rPr>
              <w:t>ДА</w:t>
            </w:r>
          </w:p>
        </w:tc>
        <w:tc>
          <w:tcPr>
            <w:tcW w:type="dxa" w:w="851"/>
          </w:tcPr>
          <w:p w14:paraId="E2060000">
            <w:pPr>
              <w:widowControl w:val="1"/>
              <w:spacing w:line="240" w:lineRule="auto"/>
              <w:ind w:firstLine="0"/>
              <w:jc w:val="left"/>
              <w:rPr>
                <w:color w:val="000000"/>
                <w:sz w:val="23"/>
              </w:rPr>
            </w:pPr>
            <w:r>
              <w:rPr>
                <w:color w:val="000000"/>
                <w:sz w:val="23"/>
              </w:rPr>
              <w:t>НЕТ</w:t>
            </w:r>
          </w:p>
        </w:tc>
      </w:tr>
      <w:tr>
        <w:tc>
          <w:tcPr>
            <w:tcW w:type="dxa" w:w="491"/>
          </w:tcPr>
          <w:p w14:paraId="E3060000">
            <w:pPr>
              <w:widowControl w:val="1"/>
              <w:spacing w:line="240" w:lineRule="auto"/>
              <w:ind w:firstLine="0"/>
              <w:jc w:val="left"/>
              <w:rPr>
                <w:color w:val="000000"/>
                <w:sz w:val="23"/>
              </w:rPr>
            </w:pPr>
          </w:p>
        </w:tc>
        <w:tc>
          <w:tcPr>
            <w:tcW w:type="dxa" w:w="6875"/>
          </w:tcPr>
          <w:p w14:paraId="E4060000">
            <w:pPr>
              <w:widowControl w:val="1"/>
              <w:spacing w:line="240" w:lineRule="auto"/>
              <w:ind w:firstLine="0"/>
              <w:jc w:val="left"/>
              <w:rPr>
                <w:color w:val="000000"/>
                <w:sz w:val="23"/>
              </w:rPr>
            </w:pPr>
            <w:r>
              <w:rPr>
                <w:color w:val="000000"/>
                <w:sz w:val="23"/>
              </w:rPr>
              <w:t>Курите</w:t>
            </w:r>
            <w:r>
              <w:rPr>
                <w:color w:val="000000"/>
                <w:sz w:val="23"/>
              </w:rPr>
              <w:t xml:space="preserve"> </w:t>
            </w:r>
            <w:r>
              <w:rPr>
                <w:color w:val="000000"/>
                <w:sz w:val="23"/>
              </w:rPr>
              <w:t>ли</w:t>
            </w:r>
            <w:r>
              <w:rPr>
                <w:color w:val="000000"/>
                <w:sz w:val="23"/>
              </w:rPr>
              <w:t xml:space="preserve"> </w:t>
            </w:r>
            <w:r>
              <w:rPr>
                <w:color w:val="000000"/>
                <w:sz w:val="23"/>
              </w:rPr>
              <w:t>Вы</w:t>
            </w:r>
          </w:p>
        </w:tc>
        <w:tc>
          <w:tcPr>
            <w:tcW w:type="dxa" w:w="851"/>
          </w:tcPr>
          <w:p w14:paraId="E5060000">
            <w:pPr>
              <w:widowControl w:val="1"/>
              <w:spacing w:line="240" w:lineRule="auto"/>
              <w:ind w:firstLine="0"/>
              <w:jc w:val="left"/>
              <w:rPr>
                <w:color w:val="000000"/>
                <w:sz w:val="23"/>
              </w:rPr>
            </w:pPr>
            <w:r>
              <w:rPr>
                <w:color w:val="000000"/>
                <w:sz w:val="23"/>
              </w:rPr>
              <w:t>ДА</w:t>
            </w:r>
          </w:p>
        </w:tc>
        <w:tc>
          <w:tcPr>
            <w:tcW w:type="dxa" w:w="851"/>
          </w:tcPr>
          <w:p w14:paraId="E6060000">
            <w:pPr>
              <w:widowControl w:val="1"/>
              <w:spacing w:line="240" w:lineRule="auto"/>
              <w:ind w:firstLine="0"/>
              <w:jc w:val="left"/>
              <w:rPr>
                <w:color w:val="000000"/>
                <w:sz w:val="23"/>
              </w:rPr>
            </w:pPr>
            <w:r>
              <w:rPr>
                <w:color w:val="000000"/>
                <w:sz w:val="23"/>
              </w:rPr>
              <w:t>НЕТ</w:t>
            </w:r>
          </w:p>
        </w:tc>
      </w:tr>
      <w:tr>
        <w:tc>
          <w:tcPr>
            <w:tcW w:type="dxa" w:w="491"/>
          </w:tcPr>
          <w:p w14:paraId="E7060000">
            <w:pPr>
              <w:widowControl w:val="1"/>
              <w:spacing w:line="240" w:lineRule="auto"/>
              <w:ind w:firstLine="0"/>
              <w:jc w:val="left"/>
              <w:rPr>
                <w:color w:val="000000"/>
                <w:sz w:val="23"/>
              </w:rPr>
            </w:pPr>
          </w:p>
        </w:tc>
        <w:tc>
          <w:tcPr>
            <w:tcW w:type="dxa" w:w="6875"/>
          </w:tcPr>
          <w:p w14:paraId="E8060000">
            <w:pPr>
              <w:widowControl w:val="1"/>
              <w:spacing w:line="240" w:lineRule="auto"/>
              <w:ind w:firstLine="0"/>
              <w:jc w:val="left"/>
              <w:rPr>
                <w:color w:val="000000"/>
                <w:sz w:val="23"/>
              </w:rPr>
            </w:pPr>
            <w:r>
              <w:rPr>
                <w:color w:val="000000"/>
                <w:sz w:val="23"/>
              </w:rPr>
              <w:t>Гепатит</w:t>
            </w:r>
            <w:r>
              <w:rPr>
                <w:color w:val="000000"/>
                <w:sz w:val="23"/>
              </w:rPr>
              <w:t xml:space="preserve"> (</w:t>
            </w:r>
            <w:r>
              <w:rPr>
                <w:color w:val="000000"/>
                <w:sz w:val="23"/>
              </w:rPr>
              <w:t>если</w:t>
            </w:r>
            <w:r>
              <w:rPr>
                <w:color w:val="000000"/>
                <w:sz w:val="23"/>
              </w:rPr>
              <w:t xml:space="preserve"> </w:t>
            </w:r>
            <w:r>
              <w:rPr>
                <w:color w:val="000000"/>
                <w:sz w:val="23"/>
              </w:rPr>
              <w:t>да</w:t>
            </w:r>
            <w:r>
              <w:rPr>
                <w:color w:val="000000"/>
                <w:sz w:val="23"/>
              </w:rPr>
              <w:t xml:space="preserve">, </w:t>
            </w:r>
            <w:r>
              <w:rPr>
                <w:color w:val="000000"/>
                <w:sz w:val="23"/>
              </w:rPr>
              <w:t>то</w:t>
            </w:r>
            <w:r>
              <w:rPr>
                <w:color w:val="000000"/>
                <w:sz w:val="23"/>
              </w:rPr>
              <w:t xml:space="preserve"> </w:t>
            </w:r>
            <w:r>
              <w:rPr>
                <w:color w:val="000000"/>
                <w:sz w:val="23"/>
              </w:rPr>
              <w:t>когда</w:t>
            </w:r>
            <w:r>
              <w:rPr>
                <w:color w:val="000000"/>
                <w:sz w:val="23"/>
              </w:rPr>
              <w:t>)</w:t>
            </w:r>
          </w:p>
        </w:tc>
        <w:tc>
          <w:tcPr>
            <w:tcW w:type="dxa" w:w="851"/>
          </w:tcPr>
          <w:p w14:paraId="E9060000">
            <w:pPr>
              <w:widowControl w:val="1"/>
              <w:spacing w:line="240" w:lineRule="auto"/>
              <w:ind w:firstLine="0"/>
              <w:jc w:val="left"/>
              <w:rPr>
                <w:color w:val="000000"/>
                <w:sz w:val="23"/>
              </w:rPr>
            </w:pPr>
            <w:r>
              <w:rPr>
                <w:color w:val="000000"/>
                <w:sz w:val="23"/>
              </w:rPr>
              <w:t>ДА</w:t>
            </w:r>
          </w:p>
        </w:tc>
        <w:tc>
          <w:tcPr>
            <w:tcW w:type="dxa" w:w="851"/>
          </w:tcPr>
          <w:p w14:paraId="EA060000">
            <w:pPr>
              <w:widowControl w:val="1"/>
              <w:spacing w:line="240" w:lineRule="auto"/>
              <w:ind w:firstLine="0"/>
              <w:jc w:val="left"/>
              <w:rPr>
                <w:color w:val="000000"/>
                <w:sz w:val="23"/>
              </w:rPr>
            </w:pPr>
            <w:r>
              <w:rPr>
                <w:color w:val="000000"/>
                <w:sz w:val="23"/>
              </w:rPr>
              <w:t>НЕТ</w:t>
            </w:r>
          </w:p>
        </w:tc>
      </w:tr>
      <w:tr>
        <w:tc>
          <w:tcPr>
            <w:tcW w:type="dxa" w:w="491"/>
          </w:tcPr>
          <w:p w14:paraId="EB060000">
            <w:pPr>
              <w:widowControl w:val="1"/>
              <w:spacing w:line="240" w:lineRule="auto"/>
              <w:ind w:firstLine="0"/>
              <w:jc w:val="left"/>
              <w:rPr>
                <w:color w:val="000000"/>
                <w:sz w:val="23"/>
              </w:rPr>
            </w:pPr>
          </w:p>
        </w:tc>
        <w:tc>
          <w:tcPr>
            <w:tcW w:type="dxa" w:w="6875"/>
          </w:tcPr>
          <w:p w14:paraId="EC060000">
            <w:pPr>
              <w:widowControl w:val="1"/>
              <w:spacing w:line="240" w:lineRule="auto"/>
              <w:ind w:firstLine="0"/>
              <w:jc w:val="left"/>
              <w:rPr>
                <w:color w:val="000000"/>
                <w:sz w:val="23"/>
              </w:rPr>
            </w:pPr>
            <w:r>
              <w:rPr>
                <w:color w:val="000000"/>
                <w:sz w:val="23"/>
              </w:rPr>
              <w:t>Заболевания</w:t>
            </w:r>
            <w:r>
              <w:rPr>
                <w:color w:val="000000"/>
                <w:sz w:val="23"/>
              </w:rPr>
              <w:t xml:space="preserve"> </w:t>
            </w:r>
            <w:r>
              <w:rPr>
                <w:color w:val="000000"/>
                <w:sz w:val="23"/>
              </w:rPr>
              <w:t>легких</w:t>
            </w:r>
            <w:r>
              <w:rPr>
                <w:color w:val="000000"/>
                <w:sz w:val="23"/>
              </w:rPr>
              <w:t xml:space="preserve"> (</w:t>
            </w:r>
            <w:r>
              <w:rPr>
                <w:color w:val="000000"/>
                <w:sz w:val="23"/>
              </w:rPr>
              <w:t>бронхиальная</w:t>
            </w:r>
            <w:r>
              <w:rPr>
                <w:color w:val="000000"/>
                <w:sz w:val="23"/>
              </w:rPr>
              <w:t xml:space="preserve"> </w:t>
            </w:r>
            <w:r>
              <w:rPr>
                <w:color w:val="000000"/>
                <w:sz w:val="23"/>
              </w:rPr>
              <w:t>астма</w:t>
            </w:r>
            <w:r>
              <w:rPr>
                <w:color w:val="000000"/>
                <w:sz w:val="23"/>
              </w:rPr>
              <w:t>)</w:t>
            </w:r>
          </w:p>
        </w:tc>
        <w:tc>
          <w:tcPr>
            <w:tcW w:type="dxa" w:w="851"/>
          </w:tcPr>
          <w:p w14:paraId="ED060000">
            <w:pPr>
              <w:widowControl w:val="1"/>
              <w:spacing w:line="240" w:lineRule="auto"/>
              <w:ind w:firstLine="0"/>
              <w:jc w:val="left"/>
              <w:rPr>
                <w:color w:val="000000"/>
                <w:sz w:val="23"/>
              </w:rPr>
            </w:pPr>
            <w:r>
              <w:rPr>
                <w:color w:val="000000"/>
                <w:sz w:val="23"/>
              </w:rPr>
              <w:t>ДА</w:t>
            </w:r>
          </w:p>
        </w:tc>
        <w:tc>
          <w:tcPr>
            <w:tcW w:type="dxa" w:w="851"/>
          </w:tcPr>
          <w:p w14:paraId="EE060000">
            <w:pPr>
              <w:widowControl w:val="1"/>
              <w:spacing w:line="240" w:lineRule="auto"/>
              <w:ind w:firstLine="0"/>
              <w:jc w:val="left"/>
              <w:rPr>
                <w:color w:val="000000"/>
                <w:sz w:val="23"/>
              </w:rPr>
            </w:pPr>
            <w:r>
              <w:rPr>
                <w:color w:val="000000"/>
                <w:sz w:val="23"/>
              </w:rPr>
              <w:t>НЕТ</w:t>
            </w:r>
          </w:p>
        </w:tc>
      </w:tr>
      <w:tr>
        <w:tc>
          <w:tcPr>
            <w:tcW w:type="dxa" w:w="491"/>
          </w:tcPr>
          <w:p w14:paraId="EF060000">
            <w:pPr>
              <w:widowControl w:val="1"/>
              <w:spacing w:line="240" w:lineRule="auto"/>
              <w:ind w:firstLine="0"/>
              <w:jc w:val="left"/>
              <w:rPr>
                <w:color w:val="000000"/>
                <w:sz w:val="23"/>
              </w:rPr>
            </w:pPr>
          </w:p>
        </w:tc>
        <w:tc>
          <w:tcPr>
            <w:tcW w:type="dxa" w:w="6875"/>
          </w:tcPr>
          <w:p w14:paraId="F0060000">
            <w:pPr>
              <w:widowControl w:val="1"/>
              <w:spacing w:line="240" w:lineRule="auto"/>
              <w:ind w:firstLine="0"/>
              <w:jc w:val="left"/>
              <w:rPr>
                <w:color w:val="000000"/>
                <w:sz w:val="23"/>
              </w:rPr>
            </w:pPr>
            <w:r>
              <w:rPr>
                <w:color w:val="000000"/>
                <w:sz w:val="23"/>
              </w:rPr>
              <w:t>Заболевание</w:t>
            </w:r>
            <w:r>
              <w:rPr>
                <w:color w:val="000000"/>
                <w:sz w:val="23"/>
              </w:rPr>
              <w:t xml:space="preserve"> </w:t>
            </w:r>
            <w:r>
              <w:rPr>
                <w:color w:val="000000"/>
                <w:sz w:val="23"/>
              </w:rPr>
              <w:t>эндокринных</w:t>
            </w:r>
            <w:r>
              <w:rPr>
                <w:color w:val="000000"/>
                <w:sz w:val="23"/>
              </w:rPr>
              <w:t xml:space="preserve"> </w:t>
            </w:r>
            <w:r>
              <w:rPr>
                <w:color w:val="000000"/>
                <w:sz w:val="23"/>
              </w:rPr>
              <w:t>органов</w:t>
            </w:r>
          </w:p>
        </w:tc>
        <w:tc>
          <w:tcPr>
            <w:tcW w:type="dxa" w:w="851"/>
          </w:tcPr>
          <w:p w14:paraId="F1060000">
            <w:pPr>
              <w:widowControl w:val="1"/>
              <w:spacing w:line="240" w:lineRule="auto"/>
              <w:ind w:firstLine="0"/>
              <w:jc w:val="left"/>
              <w:rPr>
                <w:color w:val="000000"/>
                <w:sz w:val="23"/>
              </w:rPr>
            </w:pPr>
            <w:r>
              <w:rPr>
                <w:color w:val="000000"/>
                <w:sz w:val="23"/>
              </w:rPr>
              <w:t>ДА</w:t>
            </w:r>
          </w:p>
        </w:tc>
        <w:tc>
          <w:tcPr>
            <w:tcW w:type="dxa" w:w="851"/>
          </w:tcPr>
          <w:p w14:paraId="F2060000">
            <w:pPr>
              <w:widowControl w:val="1"/>
              <w:spacing w:line="240" w:lineRule="auto"/>
              <w:ind w:firstLine="0"/>
              <w:jc w:val="left"/>
              <w:rPr>
                <w:color w:val="000000"/>
                <w:sz w:val="23"/>
              </w:rPr>
            </w:pPr>
            <w:r>
              <w:rPr>
                <w:color w:val="000000"/>
                <w:sz w:val="23"/>
              </w:rPr>
              <w:t>НЕТ</w:t>
            </w:r>
          </w:p>
        </w:tc>
      </w:tr>
      <w:tr>
        <w:tc>
          <w:tcPr>
            <w:tcW w:type="dxa" w:w="491"/>
          </w:tcPr>
          <w:p w14:paraId="F3060000">
            <w:pPr>
              <w:widowControl w:val="1"/>
              <w:spacing w:line="240" w:lineRule="auto"/>
              <w:ind w:firstLine="0"/>
              <w:jc w:val="left"/>
              <w:rPr>
                <w:color w:val="000000"/>
                <w:sz w:val="23"/>
              </w:rPr>
            </w:pPr>
          </w:p>
        </w:tc>
        <w:tc>
          <w:tcPr>
            <w:tcW w:type="dxa" w:w="6875"/>
          </w:tcPr>
          <w:p w14:paraId="F4060000">
            <w:pPr>
              <w:widowControl w:val="1"/>
              <w:spacing w:line="240" w:lineRule="auto"/>
              <w:ind w:firstLine="0"/>
              <w:jc w:val="left"/>
              <w:rPr>
                <w:color w:val="000000"/>
                <w:sz w:val="23"/>
              </w:rPr>
            </w:pPr>
            <w:r>
              <w:rPr>
                <w:color w:val="000000"/>
                <w:sz w:val="23"/>
              </w:rPr>
              <w:t>Заболевания</w:t>
            </w:r>
            <w:r>
              <w:rPr>
                <w:color w:val="000000"/>
                <w:sz w:val="23"/>
              </w:rPr>
              <w:t xml:space="preserve"> </w:t>
            </w:r>
            <w:r>
              <w:rPr>
                <w:color w:val="000000"/>
                <w:sz w:val="23"/>
              </w:rPr>
              <w:t>сердца</w:t>
            </w:r>
            <w:r>
              <w:rPr>
                <w:color w:val="000000"/>
                <w:sz w:val="23"/>
              </w:rPr>
              <w:t xml:space="preserve"> (</w:t>
            </w:r>
            <w:r>
              <w:rPr>
                <w:color w:val="000000"/>
                <w:sz w:val="23"/>
              </w:rPr>
              <w:t>инфаркт</w:t>
            </w:r>
            <w:r>
              <w:rPr>
                <w:color w:val="000000"/>
                <w:sz w:val="23"/>
              </w:rPr>
              <w:t xml:space="preserve"> </w:t>
            </w:r>
            <w:r>
              <w:rPr>
                <w:color w:val="000000"/>
                <w:sz w:val="23"/>
              </w:rPr>
              <w:t>миокарда</w:t>
            </w:r>
            <w:r>
              <w:rPr>
                <w:color w:val="000000"/>
                <w:sz w:val="23"/>
              </w:rPr>
              <w:t xml:space="preserve">, </w:t>
            </w:r>
            <w:r>
              <w:rPr>
                <w:color w:val="000000"/>
                <w:sz w:val="23"/>
              </w:rPr>
              <w:t>стенокардия</w:t>
            </w:r>
            <w:r>
              <w:rPr>
                <w:color w:val="000000"/>
                <w:sz w:val="23"/>
              </w:rPr>
              <w:t xml:space="preserve">, </w:t>
            </w:r>
            <w:r>
              <w:rPr>
                <w:color w:val="000000"/>
                <w:sz w:val="23"/>
              </w:rPr>
              <w:t>одышка</w:t>
            </w:r>
            <w:r>
              <w:rPr>
                <w:color w:val="000000"/>
                <w:sz w:val="23"/>
              </w:rPr>
              <w:t>)</w:t>
            </w:r>
          </w:p>
        </w:tc>
        <w:tc>
          <w:tcPr>
            <w:tcW w:type="dxa" w:w="851"/>
          </w:tcPr>
          <w:p w14:paraId="F5060000">
            <w:pPr>
              <w:widowControl w:val="1"/>
              <w:spacing w:line="240" w:lineRule="auto"/>
              <w:ind w:firstLine="0"/>
              <w:jc w:val="left"/>
              <w:rPr>
                <w:color w:val="000000"/>
                <w:sz w:val="23"/>
              </w:rPr>
            </w:pPr>
            <w:r>
              <w:rPr>
                <w:color w:val="000000"/>
                <w:sz w:val="23"/>
              </w:rPr>
              <w:t>ДА</w:t>
            </w:r>
          </w:p>
          <w:p w14:paraId="F6060000">
            <w:pPr>
              <w:widowControl w:val="1"/>
              <w:spacing w:line="240" w:lineRule="auto"/>
              <w:ind w:firstLine="123" w:left="-123"/>
              <w:jc w:val="left"/>
              <w:rPr>
                <w:color w:val="000000"/>
                <w:sz w:val="23"/>
              </w:rPr>
            </w:pPr>
          </w:p>
        </w:tc>
        <w:tc>
          <w:tcPr>
            <w:tcW w:type="dxa" w:w="851"/>
          </w:tcPr>
          <w:p w14:paraId="F7060000">
            <w:pPr>
              <w:widowControl w:val="1"/>
              <w:spacing w:line="240" w:lineRule="auto"/>
              <w:ind w:firstLine="0"/>
              <w:jc w:val="left"/>
              <w:rPr>
                <w:color w:val="000000"/>
                <w:sz w:val="23"/>
              </w:rPr>
            </w:pPr>
            <w:r>
              <w:rPr>
                <w:color w:val="000000"/>
                <w:sz w:val="23"/>
              </w:rPr>
              <w:t>НЕТ</w:t>
            </w:r>
          </w:p>
        </w:tc>
      </w:tr>
      <w:tr>
        <w:tc>
          <w:tcPr>
            <w:tcW w:type="dxa" w:w="491"/>
          </w:tcPr>
          <w:p w14:paraId="F8060000">
            <w:pPr>
              <w:widowControl w:val="1"/>
              <w:spacing w:line="240" w:lineRule="auto"/>
              <w:ind w:firstLine="0"/>
              <w:jc w:val="left"/>
              <w:rPr>
                <w:color w:val="000000"/>
                <w:sz w:val="23"/>
              </w:rPr>
            </w:pPr>
          </w:p>
        </w:tc>
        <w:tc>
          <w:tcPr>
            <w:tcW w:type="dxa" w:w="6875"/>
          </w:tcPr>
          <w:p w14:paraId="F9060000">
            <w:pPr>
              <w:widowControl w:val="1"/>
              <w:spacing w:line="240" w:lineRule="auto"/>
              <w:ind w:firstLine="0"/>
              <w:jc w:val="left"/>
              <w:rPr>
                <w:color w:val="000000"/>
                <w:sz w:val="23"/>
              </w:rPr>
            </w:pPr>
            <w:r>
              <w:rPr>
                <w:color w:val="000000"/>
                <w:sz w:val="23"/>
              </w:rPr>
              <w:t>Заболевание</w:t>
            </w:r>
            <w:r>
              <w:rPr>
                <w:color w:val="000000"/>
                <w:sz w:val="23"/>
              </w:rPr>
              <w:t xml:space="preserve"> </w:t>
            </w:r>
            <w:r>
              <w:rPr>
                <w:color w:val="000000"/>
                <w:sz w:val="23"/>
              </w:rPr>
              <w:t>желудочно</w:t>
            </w:r>
            <w:r>
              <w:rPr>
                <w:color w:val="000000"/>
                <w:sz w:val="23"/>
              </w:rPr>
              <w:t>-</w:t>
            </w:r>
            <w:r>
              <w:rPr>
                <w:color w:val="000000"/>
                <w:sz w:val="23"/>
              </w:rPr>
              <w:t>кишечного</w:t>
            </w:r>
            <w:r>
              <w:rPr>
                <w:color w:val="000000"/>
                <w:sz w:val="23"/>
              </w:rPr>
              <w:t xml:space="preserve"> </w:t>
            </w:r>
            <w:r>
              <w:rPr>
                <w:color w:val="000000"/>
                <w:sz w:val="23"/>
              </w:rPr>
              <w:t>тракта</w:t>
            </w:r>
          </w:p>
        </w:tc>
        <w:tc>
          <w:tcPr>
            <w:tcW w:type="dxa" w:w="851"/>
          </w:tcPr>
          <w:p w14:paraId="FA060000">
            <w:pPr>
              <w:widowControl w:val="1"/>
              <w:spacing w:line="240" w:lineRule="auto"/>
              <w:ind w:firstLine="0"/>
              <w:jc w:val="left"/>
              <w:rPr>
                <w:color w:val="000000"/>
                <w:sz w:val="23"/>
              </w:rPr>
            </w:pPr>
            <w:r>
              <w:rPr>
                <w:color w:val="000000"/>
                <w:sz w:val="23"/>
              </w:rPr>
              <w:t>ДА</w:t>
            </w:r>
          </w:p>
        </w:tc>
        <w:tc>
          <w:tcPr>
            <w:tcW w:type="dxa" w:w="851"/>
          </w:tcPr>
          <w:p w14:paraId="FB060000">
            <w:pPr>
              <w:widowControl w:val="1"/>
              <w:spacing w:line="240" w:lineRule="auto"/>
              <w:ind w:firstLine="0"/>
              <w:jc w:val="left"/>
              <w:rPr>
                <w:color w:val="000000"/>
                <w:sz w:val="23"/>
              </w:rPr>
            </w:pPr>
            <w:r>
              <w:rPr>
                <w:color w:val="000000"/>
                <w:sz w:val="23"/>
              </w:rPr>
              <w:t>НЕТ</w:t>
            </w:r>
          </w:p>
        </w:tc>
      </w:tr>
      <w:tr>
        <w:tc>
          <w:tcPr>
            <w:tcW w:type="dxa" w:w="491"/>
          </w:tcPr>
          <w:p w14:paraId="FC060000">
            <w:pPr>
              <w:widowControl w:val="1"/>
              <w:spacing w:line="240" w:lineRule="auto"/>
              <w:ind w:firstLine="0"/>
              <w:jc w:val="left"/>
              <w:rPr>
                <w:color w:val="000000"/>
                <w:sz w:val="23"/>
              </w:rPr>
            </w:pPr>
          </w:p>
        </w:tc>
        <w:tc>
          <w:tcPr>
            <w:tcW w:type="dxa" w:w="6875"/>
          </w:tcPr>
          <w:p w14:paraId="FD060000">
            <w:pPr>
              <w:widowControl w:val="1"/>
              <w:spacing w:line="240" w:lineRule="auto"/>
              <w:ind w:firstLine="0"/>
              <w:jc w:val="left"/>
              <w:rPr>
                <w:color w:val="000000"/>
                <w:sz w:val="23"/>
              </w:rPr>
            </w:pPr>
            <w:r>
              <w:rPr>
                <w:color w:val="000000"/>
                <w:sz w:val="23"/>
              </w:rPr>
              <w:t>Травмы</w:t>
            </w:r>
            <w:r>
              <w:rPr>
                <w:color w:val="000000"/>
                <w:sz w:val="23"/>
              </w:rPr>
              <w:t xml:space="preserve"> </w:t>
            </w:r>
            <w:r>
              <w:rPr>
                <w:color w:val="000000"/>
                <w:sz w:val="23"/>
              </w:rPr>
              <w:t>челюстно</w:t>
            </w:r>
            <w:r>
              <w:rPr>
                <w:color w:val="000000"/>
                <w:sz w:val="23"/>
              </w:rPr>
              <w:t>-</w:t>
            </w:r>
            <w:r>
              <w:rPr>
                <w:color w:val="000000"/>
                <w:sz w:val="23"/>
              </w:rPr>
              <w:t>лицевой</w:t>
            </w:r>
            <w:r>
              <w:rPr>
                <w:color w:val="000000"/>
                <w:sz w:val="23"/>
              </w:rPr>
              <w:t xml:space="preserve"> </w:t>
            </w:r>
            <w:r>
              <w:rPr>
                <w:color w:val="000000"/>
                <w:sz w:val="23"/>
              </w:rPr>
              <w:t>области</w:t>
            </w:r>
          </w:p>
        </w:tc>
        <w:tc>
          <w:tcPr>
            <w:tcW w:type="dxa" w:w="851"/>
          </w:tcPr>
          <w:p w14:paraId="FE060000">
            <w:pPr>
              <w:widowControl w:val="1"/>
              <w:spacing w:line="240" w:lineRule="auto"/>
              <w:ind w:firstLine="0"/>
              <w:jc w:val="left"/>
              <w:rPr>
                <w:color w:val="000000"/>
                <w:sz w:val="23"/>
              </w:rPr>
            </w:pPr>
            <w:r>
              <w:rPr>
                <w:color w:val="000000"/>
                <w:sz w:val="23"/>
              </w:rPr>
              <w:t>ДА</w:t>
            </w:r>
          </w:p>
        </w:tc>
        <w:tc>
          <w:tcPr>
            <w:tcW w:type="dxa" w:w="851"/>
          </w:tcPr>
          <w:p w14:paraId="FF060000">
            <w:pPr>
              <w:widowControl w:val="1"/>
              <w:spacing w:line="240" w:lineRule="auto"/>
              <w:ind w:firstLine="0"/>
              <w:jc w:val="left"/>
              <w:rPr>
                <w:color w:val="000000"/>
                <w:sz w:val="23"/>
              </w:rPr>
            </w:pPr>
            <w:r>
              <w:rPr>
                <w:color w:val="000000"/>
                <w:sz w:val="23"/>
              </w:rPr>
              <w:t>НЕТ</w:t>
            </w:r>
          </w:p>
        </w:tc>
      </w:tr>
      <w:tr>
        <w:tc>
          <w:tcPr>
            <w:tcW w:type="dxa" w:w="491"/>
          </w:tcPr>
          <w:p w14:paraId="00070000">
            <w:pPr>
              <w:widowControl w:val="1"/>
              <w:spacing w:line="240" w:lineRule="auto"/>
              <w:ind w:firstLine="0"/>
              <w:jc w:val="left"/>
              <w:rPr>
                <w:color w:val="000000"/>
                <w:sz w:val="23"/>
              </w:rPr>
            </w:pPr>
          </w:p>
        </w:tc>
        <w:tc>
          <w:tcPr>
            <w:tcW w:type="dxa" w:w="6875"/>
          </w:tcPr>
          <w:p w14:paraId="01070000">
            <w:pPr>
              <w:widowControl w:val="1"/>
              <w:spacing w:line="240" w:lineRule="auto"/>
              <w:ind w:firstLine="0"/>
              <w:jc w:val="left"/>
              <w:rPr>
                <w:color w:val="000000"/>
                <w:sz w:val="23"/>
              </w:rPr>
            </w:pPr>
            <w:r>
              <w:rPr>
                <w:color w:val="000000"/>
                <w:sz w:val="23"/>
              </w:rPr>
              <w:t>Сахарный</w:t>
            </w:r>
            <w:r>
              <w:rPr>
                <w:color w:val="000000"/>
                <w:sz w:val="23"/>
              </w:rPr>
              <w:t xml:space="preserve"> </w:t>
            </w:r>
            <w:r>
              <w:rPr>
                <w:color w:val="000000"/>
                <w:sz w:val="23"/>
              </w:rPr>
              <w:t>диабет</w:t>
            </w:r>
          </w:p>
        </w:tc>
        <w:tc>
          <w:tcPr>
            <w:tcW w:type="dxa" w:w="851"/>
          </w:tcPr>
          <w:p w14:paraId="02070000">
            <w:pPr>
              <w:widowControl w:val="1"/>
              <w:spacing w:line="240" w:lineRule="auto"/>
              <w:ind w:firstLine="123" w:left="-123"/>
              <w:jc w:val="left"/>
              <w:rPr>
                <w:color w:val="000000"/>
                <w:sz w:val="23"/>
              </w:rPr>
            </w:pPr>
            <w:r>
              <w:rPr>
                <w:color w:val="000000"/>
                <w:sz w:val="23"/>
              </w:rPr>
              <w:t>ДА</w:t>
            </w:r>
          </w:p>
        </w:tc>
        <w:tc>
          <w:tcPr>
            <w:tcW w:type="dxa" w:w="851"/>
          </w:tcPr>
          <w:p w14:paraId="03070000">
            <w:pPr>
              <w:widowControl w:val="1"/>
              <w:spacing w:line="240" w:lineRule="auto"/>
              <w:ind w:firstLine="0"/>
              <w:jc w:val="left"/>
              <w:rPr>
                <w:color w:val="000000"/>
                <w:sz w:val="23"/>
              </w:rPr>
            </w:pPr>
            <w:r>
              <w:rPr>
                <w:color w:val="000000"/>
                <w:sz w:val="23"/>
              </w:rPr>
              <w:t>НЕТ</w:t>
            </w:r>
          </w:p>
        </w:tc>
      </w:tr>
      <w:tr>
        <w:tc>
          <w:tcPr>
            <w:tcW w:type="dxa" w:w="491"/>
          </w:tcPr>
          <w:p w14:paraId="04070000">
            <w:pPr>
              <w:widowControl w:val="1"/>
              <w:spacing w:line="240" w:lineRule="auto"/>
              <w:ind w:firstLine="0"/>
              <w:jc w:val="left"/>
              <w:rPr>
                <w:color w:val="000000"/>
                <w:sz w:val="23"/>
              </w:rPr>
            </w:pPr>
          </w:p>
        </w:tc>
        <w:tc>
          <w:tcPr>
            <w:tcW w:type="dxa" w:w="6875"/>
          </w:tcPr>
          <w:p w14:paraId="05070000">
            <w:pPr>
              <w:widowControl w:val="1"/>
              <w:spacing w:line="240" w:lineRule="auto"/>
              <w:ind w:firstLine="0"/>
              <w:jc w:val="left"/>
              <w:rPr>
                <w:color w:val="000000"/>
                <w:sz w:val="23"/>
              </w:rPr>
            </w:pPr>
            <w:r>
              <w:rPr>
                <w:color w:val="000000"/>
                <w:sz w:val="23"/>
              </w:rPr>
              <w:t>Бывает</w:t>
            </w:r>
            <w:r>
              <w:rPr>
                <w:color w:val="000000"/>
                <w:sz w:val="23"/>
              </w:rPr>
              <w:t xml:space="preserve"> </w:t>
            </w:r>
            <w:r>
              <w:rPr>
                <w:color w:val="000000"/>
                <w:sz w:val="23"/>
              </w:rPr>
              <w:t>ли</w:t>
            </w:r>
            <w:r>
              <w:rPr>
                <w:color w:val="000000"/>
                <w:sz w:val="23"/>
              </w:rPr>
              <w:t xml:space="preserve"> </w:t>
            </w:r>
            <w:r>
              <w:rPr>
                <w:color w:val="000000"/>
                <w:sz w:val="23"/>
              </w:rPr>
              <w:t>аллергические</w:t>
            </w:r>
            <w:r>
              <w:rPr>
                <w:color w:val="000000"/>
                <w:sz w:val="23"/>
              </w:rPr>
              <w:t xml:space="preserve"> </w:t>
            </w:r>
            <w:r>
              <w:rPr>
                <w:color w:val="000000"/>
                <w:sz w:val="23"/>
              </w:rPr>
              <w:t>реакции</w:t>
            </w:r>
            <w:r>
              <w:rPr>
                <w:color w:val="000000"/>
                <w:sz w:val="23"/>
              </w:rPr>
              <w:t xml:space="preserve"> </w:t>
            </w:r>
            <w:r>
              <w:rPr>
                <w:color w:val="000000"/>
                <w:sz w:val="23"/>
              </w:rPr>
              <w:t>в</w:t>
            </w:r>
            <w:r>
              <w:rPr>
                <w:color w:val="000000"/>
                <w:sz w:val="23"/>
              </w:rPr>
              <w:t xml:space="preserve"> </w:t>
            </w:r>
            <w:r>
              <w:rPr>
                <w:color w:val="000000"/>
                <w:sz w:val="23"/>
              </w:rPr>
              <w:t>виде</w:t>
            </w:r>
            <w:r>
              <w:rPr>
                <w:color w:val="000000"/>
                <w:sz w:val="23"/>
              </w:rPr>
              <w:t xml:space="preserve"> </w:t>
            </w:r>
            <w:r>
              <w:rPr>
                <w:color w:val="000000"/>
                <w:sz w:val="23"/>
              </w:rPr>
              <w:t>головокружение</w:t>
            </w:r>
            <w:r>
              <w:rPr>
                <w:color w:val="000000"/>
                <w:sz w:val="23"/>
              </w:rPr>
              <w:t xml:space="preserve">, </w:t>
            </w:r>
            <w:r>
              <w:rPr>
                <w:color w:val="000000"/>
                <w:sz w:val="23"/>
              </w:rPr>
              <w:t>потеря</w:t>
            </w:r>
            <w:r>
              <w:rPr>
                <w:color w:val="000000"/>
                <w:sz w:val="23"/>
              </w:rPr>
              <w:t xml:space="preserve"> </w:t>
            </w:r>
            <w:r>
              <w:rPr>
                <w:color w:val="000000"/>
                <w:sz w:val="23"/>
              </w:rPr>
              <w:t>сознания</w:t>
            </w:r>
            <w:r>
              <w:rPr>
                <w:color w:val="000000"/>
                <w:sz w:val="23"/>
              </w:rPr>
              <w:t xml:space="preserve">, </w:t>
            </w:r>
            <w:r>
              <w:rPr>
                <w:color w:val="000000"/>
                <w:sz w:val="23"/>
              </w:rPr>
              <w:t>одышка</w:t>
            </w:r>
            <w:r>
              <w:rPr>
                <w:color w:val="000000"/>
                <w:sz w:val="23"/>
              </w:rPr>
              <w:t xml:space="preserve"> </w:t>
            </w:r>
            <w:r>
              <w:rPr>
                <w:color w:val="000000"/>
                <w:sz w:val="23"/>
              </w:rPr>
              <w:t>при</w:t>
            </w:r>
            <w:r>
              <w:rPr>
                <w:color w:val="000000"/>
                <w:sz w:val="23"/>
              </w:rPr>
              <w:t xml:space="preserve"> </w:t>
            </w:r>
            <w:r>
              <w:rPr>
                <w:color w:val="000000"/>
                <w:sz w:val="23"/>
              </w:rPr>
              <w:t>введении</w:t>
            </w:r>
            <w:r>
              <w:rPr>
                <w:color w:val="000000"/>
                <w:sz w:val="23"/>
              </w:rPr>
              <w:t xml:space="preserve"> </w:t>
            </w:r>
            <w:r>
              <w:rPr>
                <w:color w:val="000000"/>
                <w:sz w:val="23"/>
              </w:rPr>
              <w:t>анестетиков</w:t>
            </w:r>
            <w:r>
              <w:rPr>
                <w:color w:val="000000"/>
                <w:sz w:val="23"/>
              </w:rPr>
              <w:t xml:space="preserve"> </w:t>
            </w:r>
            <w:r>
              <w:rPr>
                <w:color w:val="000000"/>
                <w:sz w:val="23"/>
              </w:rPr>
              <w:t>или</w:t>
            </w:r>
            <w:r>
              <w:rPr>
                <w:color w:val="000000"/>
                <w:sz w:val="23"/>
              </w:rPr>
              <w:t xml:space="preserve"> </w:t>
            </w:r>
            <w:r>
              <w:rPr>
                <w:color w:val="000000"/>
                <w:sz w:val="23"/>
              </w:rPr>
              <w:t>др</w:t>
            </w:r>
            <w:r>
              <w:rPr>
                <w:color w:val="000000"/>
                <w:sz w:val="23"/>
              </w:rPr>
              <w:t xml:space="preserve">. </w:t>
            </w:r>
            <w:r>
              <w:rPr>
                <w:color w:val="000000"/>
                <w:sz w:val="23"/>
              </w:rPr>
              <w:t>лекарственных</w:t>
            </w:r>
            <w:r>
              <w:rPr>
                <w:color w:val="000000"/>
                <w:sz w:val="23"/>
              </w:rPr>
              <w:t xml:space="preserve"> </w:t>
            </w:r>
            <w:r>
              <w:rPr>
                <w:color w:val="000000"/>
                <w:sz w:val="23"/>
              </w:rPr>
              <w:t>препаратов</w:t>
            </w:r>
            <w:r>
              <w:rPr>
                <w:color w:val="000000"/>
                <w:sz w:val="23"/>
              </w:rPr>
              <w:t xml:space="preserve"> </w:t>
            </w:r>
            <w:r>
              <w:rPr>
                <w:color w:val="000000"/>
                <w:sz w:val="20"/>
              </w:rPr>
              <w:t>(</w:t>
            </w:r>
            <w:r>
              <w:rPr>
                <w:color w:val="000000"/>
                <w:sz w:val="20"/>
              </w:rPr>
              <w:t>укажите</w:t>
            </w:r>
            <w:r>
              <w:rPr>
                <w:color w:val="000000"/>
                <w:sz w:val="20"/>
              </w:rPr>
              <w:t>)</w:t>
            </w:r>
          </w:p>
        </w:tc>
        <w:tc>
          <w:tcPr>
            <w:tcW w:type="dxa" w:w="851"/>
          </w:tcPr>
          <w:p w14:paraId="06070000">
            <w:pPr>
              <w:widowControl w:val="1"/>
              <w:spacing w:line="240" w:lineRule="auto"/>
              <w:ind w:firstLine="123" w:left="-123"/>
              <w:jc w:val="left"/>
              <w:rPr>
                <w:color w:val="000000"/>
                <w:sz w:val="23"/>
              </w:rPr>
            </w:pPr>
            <w:r>
              <w:rPr>
                <w:color w:val="000000"/>
                <w:sz w:val="23"/>
              </w:rPr>
              <w:t>ДА</w:t>
            </w:r>
          </w:p>
        </w:tc>
        <w:tc>
          <w:tcPr>
            <w:tcW w:type="dxa" w:w="851"/>
          </w:tcPr>
          <w:p w14:paraId="07070000">
            <w:pPr>
              <w:widowControl w:val="1"/>
              <w:spacing w:line="240" w:lineRule="auto"/>
              <w:ind w:firstLine="0"/>
              <w:jc w:val="left"/>
              <w:rPr>
                <w:color w:val="000000"/>
                <w:sz w:val="23"/>
              </w:rPr>
            </w:pPr>
            <w:r>
              <w:rPr>
                <w:color w:val="000000"/>
                <w:sz w:val="23"/>
              </w:rPr>
              <w:t>НЕТ</w:t>
            </w:r>
          </w:p>
        </w:tc>
      </w:tr>
      <w:tr>
        <w:tc>
          <w:tcPr>
            <w:tcW w:type="dxa" w:w="491"/>
          </w:tcPr>
          <w:p w14:paraId="08070000">
            <w:pPr>
              <w:widowControl w:val="1"/>
              <w:spacing w:line="240" w:lineRule="auto"/>
              <w:ind w:firstLine="0"/>
              <w:jc w:val="left"/>
              <w:rPr>
                <w:color w:val="000000"/>
                <w:sz w:val="23"/>
              </w:rPr>
            </w:pPr>
          </w:p>
        </w:tc>
        <w:tc>
          <w:tcPr>
            <w:tcW w:type="dxa" w:w="6875"/>
          </w:tcPr>
          <w:p w14:paraId="09070000">
            <w:pPr>
              <w:widowControl w:val="1"/>
              <w:spacing w:line="240" w:lineRule="auto"/>
              <w:ind w:firstLine="0"/>
              <w:jc w:val="left"/>
              <w:rPr>
                <w:color w:val="000000"/>
                <w:sz w:val="23"/>
              </w:rPr>
            </w:pPr>
            <w:r>
              <w:rPr>
                <w:color w:val="000000"/>
                <w:sz w:val="23"/>
              </w:rPr>
              <w:t>Принимаете</w:t>
            </w:r>
            <w:r>
              <w:rPr>
                <w:color w:val="000000"/>
                <w:sz w:val="23"/>
              </w:rPr>
              <w:t xml:space="preserve"> </w:t>
            </w:r>
            <w:r>
              <w:rPr>
                <w:color w:val="000000"/>
                <w:sz w:val="23"/>
              </w:rPr>
              <w:t>ли</w:t>
            </w:r>
            <w:r>
              <w:rPr>
                <w:color w:val="000000"/>
                <w:sz w:val="23"/>
              </w:rPr>
              <w:t xml:space="preserve"> </w:t>
            </w:r>
            <w:r>
              <w:rPr>
                <w:color w:val="000000"/>
                <w:sz w:val="23"/>
              </w:rPr>
              <w:t>Вы</w:t>
            </w:r>
            <w:r>
              <w:rPr>
                <w:color w:val="000000"/>
                <w:sz w:val="23"/>
              </w:rPr>
              <w:t xml:space="preserve"> </w:t>
            </w:r>
            <w:r>
              <w:rPr>
                <w:color w:val="000000"/>
                <w:sz w:val="23"/>
              </w:rPr>
              <w:t>постоянно</w:t>
            </w:r>
            <w:r>
              <w:rPr>
                <w:color w:val="000000"/>
                <w:sz w:val="23"/>
              </w:rPr>
              <w:t xml:space="preserve"> </w:t>
            </w:r>
            <w:r>
              <w:rPr>
                <w:color w:val="000000"/>
                <w:sz w:val="23"/>
              </w:rPr>
              <w:t>какие</w:t>
            </w:r>
            <w:r>
              <w:rPr>
                <w:color w:val="000000"/>
                <w:sz w:val="23"/>
              </w:rPr>
              <w:t>-</w:t>
            </w:r>
            <w:r>
              <w:rPr>
                <w:color w:val="000000"/>
                <w:sz w:val="23"/>
              </w:rPr>
              <w:t>либо</w:t>
            </w:r>
            <w:r>
              <w:rPr>
                <w:color w:val="000000"/>
                <w:sz w:val="23"/>
              </w:rPr>
              <w:t xml:space="preserve"> </w:t>
            </w:r>
            <w:r>
              <w:rPr>
                <w:color w:val="000000"/>
                <w:sz w:val="23"/>
              </w:rPr>
              <w:t>лекарства</w:t>
            </w:r>
            <w:r>
              <w:rPr>
                <w:color w:val="000000"/>
                <w:sz w:val="23"/>
              </w:rPr>
              <w:t xml:space="preserve">, </w:t>
            </w:r>
            <w:r>
              <w:rPr>
                <w:color w:val="000000"/>
                <w:sz w:val="23"/>
              </w:rPr>
              <w:t>если</w:t>
            </w:r>
            <w:r>
              <w:rPr>
                <w:color w:val="000000"/>
                <w:sz w:val="23"/>
              </w:rPr>
              <w:t xml:space="preserve"> </w:t>
            </w:r>
            <w:r>
              <w:rPr>
                <w:color w:val="000000"/>
                <w:sz w:val="23"/>
              </w:rPr>
              <w:t>да</w:t>
            </w:r>
            <w:r>
              <w:rPr>
                <w:color w:val="000000"/>
                <w:sz w:val="23"/>
              </w:rPr>
              <w:t xml:space="preserve"> </w:t>
            </w:r>
            <w:r>
              <w:rPr>
                <w:color w:val="000000"/>
                <w:sz w:val="23"/>
              </w:rPr>
              <w:t>то</w:t>
            </w:r>
            <w:r>
              <w:rPr>
                <w:color w:val="000000"/>
                <w:sz w:val="23"/>
              </w:rPr>
              <w:t xml:space="preserve"> </w:t>
            </w:r>
            <w:r>
              <w:rPr>
                <w:color w:val="000000"/>
                <w:sz w:val="23"/>
              </w:rPr>
              <w:t>какие</w:t>
            </w:r>
          </w:p>
        </w:tc>
        <w:tc>
          <w:tcPr>
            <w:tcW w:type="dxa" w:w="851"/>
          </w:tcPr>
          <w:p w14:paraId="0A070000">
            <w:pPr>
              <w:widowControl w:val="1"/>
              <w:spacing w:line="240" w:lineRule="auto"/>
              <w:ind w:firstLine="123" w:left="-123"/>
              <w:jc w:val="left"/>
              <w:rPr>
                <w:color w:val="000000"/>
                <w:sz w:val="23"/>
              </w:rPr>
            </w:pPr>
            <w:r>
              <w:rPr>
                <w:color w:val="000000"/>
                <w:sz w:val="23"/>
              </w:rPr>
              <w:t>ДА</w:t>
            </w:r>
          </w:p>
        </w:tc>
        <w:tc>
          <w:tcPr>
            <w:tcW w:type="dxa" w:w="851"/>
          </w:tcPr>
          <w:p w14:paraId="0B070000">
            <w:pPr>
              <w:widowControl w:val="1"/>
              <w:spacing w:line="240" w:lineRule="auto"/>
              <w:ind w:firstLine="0"/>
              <w:jc w:val="left"/>
              <w:rPr>
                <w:color w:val="000000"/>
                <w:sz w:val="23"/>
              </w:rPr>
            </w:pPr>
            <w:r>
              <w:rPr>
                <w:color w:val="000000"/>
                <w:sz w:val="23"/>
              </w:rPr>
              <w:t>НЕТ</w:t>
            </w:r>
          </w:p>
        </w:tc>
      </w:tr>
      <w:tr>
        <w:tc>
          <w:tcPr>
            <w:tcW w:type="dxa" w:w="491"/>
          </w:tcPr>
          <w:p w14:paraId="0C070000">
            <w:pPr>
              <w:widowControl w:val="1"/>
              <w:spacing w:line="240" w:lineRule="auto"/>
              <w:ind w:firstLine="0"/>
              <w:jc w:val="left"/>
              <w:rPr>
                <w:color w:val="000000"/>
                <w:sz w:val="23"/>
              </w:rPr>
            </w:pPr>
          </w:p>
        </w:tc>
        <w:tc>
          <w:tcPr>
            <w:tcW w:type="dxa" w:w="6875"/>
          </w:tcPr>
          <w:p w14:paraId="0D070000">
            <w:pPr>
              <w:widowControl w:val="1"/>
              <w:spacing w:line="240" w:lineRule="auto"/>
              <w:ind w:firstLine="0"/>
              <w:jc w:val="left"/>
              <w:rPr>
                <w:color w:val="000000"/>
                <w:sz w:val="23"/>
              </w:rPr>
            </w:pPr>
            <w:r>
              <w:rPr>
                <w:color w:val="000000"/>
                <w:sz w:val="23"/>
              </w:rPr>
              <w:t>Для</w:t>
            </w:r>
            <w:r>
              <w:rPr>
                <w:color w:val="000000"/>
                <w:sz w:val="23"/>
              </w:rPr>
              <w:t xml:space="preserve"> </w:t>
            </w:r>
            <w:r>
              <w:rPr>
                <w:color w:val="000000"/>
                <w:sz w:val="23"/>
              </w:rPr>
              <w:t>женщин</w:t>
            </w:r>
            <w:r>
              <w:rPr>
                <w:color w:val="000000"/>
                <w:sz w:val="23"/>
              </w:rPr>
              <w:t xml:space="preserve">: - </w:t>
            </w:r>
            <w:r>
              <w:rPr>
                <w:color w:val="000000"/>
                <w:sz w:val="23"/>
              </w:rPr>
              <w:t>беременны</w:t>
            </w:r>
            <w:r>
              <w:rPr>
                <w:color w:val="000000"/>
                <w:sz w:val="23"/>
              </w:rPr>
              <w:t xml:space="preserve"> </w:t>
            </w:r>
            <w:r>
              <w:rPr>
                <w:color w:val="000000"/>
                <w:sz w:val="23"/>
              </w:rPr>
              <w:t>ли</w:t>
            </w:r>
            <w:r>
              <w:rPr>
                <w:color w:val="000000"/>
                <w:sz w:val="23"/>
              </w:rPr>
              <w:t xml:space="preserve"> </w:t>
            </w:r>
            <w:r>
              <w:rPr>
                <w:color w:val="000000"/>
                <w:sz w:val="23"/>
              </w:rPr>
              <w:t>Вы</w:t>
            </w:r>
          </w:p>
          <w:p w14:paraId="0E070000">
            <w:pPr>
              <w:widowControl w:val="1"/>
              <w:spacing w:line="240" w:lineRule="auto"/>
              <w:ind w:firstLine="0"/>
              <w:jc w:val="left"/>
              <w:rPr>
                <w:color w:val="000000"/>
                <w:sz w:val="23"/>
              </w:rPr>
            </w:pPr>
            <w:r>
              <w:rPr>
                <w:color w:val="000000"/>
                <w:sz w:val="23"/>
              </w:rPr>
              <w:t xml:space="preserve">- </w:t>
            </w:r>
            <w:r>
              <w:rPr>
                <w:color w:val="000000"/>
                <w:sz w:val="23"/>
              </w:rPr>
              <w:t>являетесь</w:t>
            </w:r>
            <w:r>
              <w:rPr>
                <w:color w:val="000000"/>
                <w:sz w:val="23"/>
              </w:rPr>
              <w:t xml:space="preserve"> </w:t>
            </w:r>
            <w:r>
              <w:rPr>
                <w:color w:val="000000"/>
                <w:sz w:val="23"/>
              </w:rPr>
              <w:t>ли</w:t>
            </w:r>
            <w:r>
              <w:rPr>
                <w:color w:val="000000"/>
                <w:sz w:val="23"/>
              </w:rPr>
              <w:t xml:space="preserve"> </w:t>
            </w:r>
            <w:r>
              <w:rPr>
                <w:color w:val="000000"/>
                <w:sz w:val="23"/>
              </w:rPr>
              <w:t>Вы</w:t>
            </w:r>
            <w:r>
              <w:rPr>
                <w:color w:val="000000"/>
                <w:sz w:val="23"/>
              </w:rPr>
              <w:t xml:space="preserve"> </w:t>
            </w:r>
            <w:r>
              <w:rPr>
                <w:color w:val="000000"/>
                <w:sz w:val="23"/>
              </w:rPr>
              <w:t>кормящей</w:t>
            </w:r>
            <w:r>
              <w:rPr>
                <w:color w:val="000000"/>
                <w:sz w:val="23"/>
              </w:rPr>
              <w:t xml:space="preserve"> </w:t>
            </w:r>
            <w:r>
              <w:rPr>
                <w:color w:val="000000"/>
                <w:sz w:val="23"/>
              </w:rPr>
              <w:t>матерью</w:t>
            </w:r>
          </w:p>
        </w:tc>
        <w:tc>
          <w:tcPr>
            <w:tcW w:type="dxa" w:w="851"/>
          </w:tcPr>
          <w:p w14:paraId="0F070000">
            <w:pPr>
              <w:widowControl w:val="1"/>
              <w:spacing w:line="240" w:lineRule="auto"/>
              <w:ind w:firstLine="123" w:left="-123"/>
              <w:jc w:val="left"/>
              <w:rPr>
                <w:color w:val="000000"/>
                <w:sz w:val="23"/>
              </w:rPr>
            </w:pPr>
            <w:r>
              <w:rPr>
                <w:color w:val="000000"/>
                <w:sz w:val="23"/>
              </w:rPr>
              <w:t>ДА</w:t>
            </w:r>
          </w:p>
        </w:tc>
        <w:tc>
          <w:tcPr>
            <w:tcW w:type="dxa" w:w="851"/>
          </w:tcPr>
          <w:p w14:paraId="10070000">
            <w:pPr>
              <w:widowControl w:val="1"/>
              <w:spacing w:line="240" w:lineRule="auto"/>
              <w:ind w:firstLine="0"/>
              <w:jc w:val="left"/>
              <w:rPr>
                <w:color w:val="000000"/>
                <w:sz w:val="23"/>
              </w:rPr>
            </w:pPr>
            <w:r>
              <w:rPr>
                <w:color w:val="000000"/>
                <w:sz w:val="23"/>
              </w:rPr>
              <w:t>НЕТ</w:t>
            </w:r>
          </w:p>
          <w:p w14:paraId="11070000">
            <w:pPr>
              <w:widowControl w:val="1"/>
              <w:spacing w:line="240" w:lineRule="auto"/>
              <w:ind w:firstLine="0"/>
              <w:jc w:val="left"/>
              <w:rPr>
                <w:color w:val="000000"/>
                <w:sz w:val="23"/>
              </w:rPr>
            </w:pPr>
          </w:p>
        </w:tc>
      </w:tr>
      <w:tr>
        <w:tc>
          <w:tcPr>
            <w:tcW w:type="dxa" w:w="491"/>
          </w:tcPr>
          <w:p w14:paraId="12070000">
            <w:pPr>
              <w:widowControl w:val="1"/>
              <w:spacing w:line="240" w:lineRule="auto"/>
              <w:ind w:firstLine="0"/>
              <w:jc w:val="left"/>
              <w:rPr>
                <w:color w:val="000000"/>
                <w:sz w:val="23"/>
              </w:rPr>
            </w:pPr>
          </w:p>
        </w:tc>
        <w:tc>
          <w:tcPr>
            <w:tcW w:type="dxa" w:w="6875"/>
          </w:tcPr>
          <w:p w14:paraId="13070000">
            <w:pPr>
              <w:widowControl w:val="1"/>
              <w:spacing w:line="240" w:lineRule="auto"/>
              <w:ind w:firstLine="0"/>
              <w:jc w:val="left"/>
              <w:rPr>
                <w:color w:val="000000"/>
                <w:sz w:val="23"/>
              </w:rPr>
            </w:pPr>
            <w:r>
              <w:rPr>
                <w:color w:val="000000"/>
                <w:sz w:val="23"/>
              </w:rPr>
              <w:t>СПИД</w:t>
            </w:r>
            <w:r>
              <w:rPr>
                <w:color w:val="000000"/>
                <w:sz w:val="23"/>
              </w:rPr>
              <w:t xml:space="preserve">, </w:t>
            </w:r>
            <w:r>
              <w:rPr>
                <w:color w:val="000000"/>
                <w:sz w:val="23"/>
              </w:rPr>
              <w:t>ВиЧ</w:t>
            </w:r>
          </w:p>
        </w:tc>
        <w:tc>
          <w:tcPr>
            <w:tcW w:type="dxa" w:w="851"/>
          </w:tcPr>
          <w:p w14:paraId="14070000">
            <w:pPr>
              <w:widowControl w:val="1"/>
              <w:spacing w:line="240" w:lineRule="auto"/>
              <w:ind w:firstLine="123" w:left="-123"/>
              <w:jc w:val="left"/>
              <w:rPr>
                <w:color w:val="000000"/>
                <w:sz w:val="23"/>
              </w:rPr>
            </w:pPr>
            <w:r>
              <w:rPr>
                <w:color w:val="000000"/>
                <w:sz w:val="23"/>
              </w:rPr>
              <w:t>ДА</w:t>
            </w:r>
          </w:p>
        </w:tc>
        <w:tc>
          <w:tcPr>
            <w:tcW w:type="dxa" w:w="851"/>
          </w:tcPr>
          <w:p w14:paraId="15070000">
            <w:pPr>
              <w:widowControl w:val="1"/>
              <w:spacing w:line="240" w:lineRule="auto"/>
              <w:ind w:firstLine="0"/>
              <w:jc w:val="left"/>
              <w:rPr>
                <w:color w:val="000000"/>
                <w:sz w:val="23"/>
              </w:rPr>
            </w:pPr>
            <w:r>
              <w:rPr>
                <w:color w:val="000000"/>
                <w:sz w:val="23"/>
              </w:rPr>
              <w:t>НЕТ</w:t>
            </w:r>
          </w:p>
        </w:tc>
      </w:tr>
    </w:tbl>
    <w:p w14:paraId="16070000">
      <w:pPr>
        <w:widowControl w:val="1"/>
        <w:spacing w:line="240" w:lineRule="auto"/>
        <w:ind w:firstLine="0"/>
        <w:jc w:val="left"/>
        <w:rPr>
          <w:color w:val="000000"/>
          <w:sz w:val="23"/>
        </w:rPr>
      </w:pPr>
      <w:r>
        <w:rPr>
          <w:color w:val="000000"/>
          <w:sz w:val="23"/>
        </w:rPr>
        <w:t>Я искренне ответил (а) на все пункты анкеты, хочу дополнительно сообщить о состоянии здоровья</w:t>
      </w:r>
    </w:p>
    <w:p w14:paraId="17070000">
      <w:pPr>
        <w:widowControl w:val="1"/>
        <w:spacing w:line="240" w:lineRule="auto"/>
        <w:ind w:firstLine="0"/>
        <w:jc w:val="left"/>
        <w:rPr>
          <w:color w:val="000000"/>
          <w:sz w:val="23"/>
        </w:rPr>
      </w:pPr>
      <w:r>
        <w:rPr>
          <w:color w:val="000000"/>
          <w:sz w:val="23"/>
        </w:rPr>
        <w:t>следующее:_______________________________________________________________________</w:t>
      </w:r>
    </w:p>
    <w:p w14:paraId="18070000">
      <w:pPr>
        <w:widowControl w:val="1"/>
        <w:spacing w:line="240" w:lineRule="auto"/>
        <w:ind w:firstLine="0"/>
        <w:jc w:val="left"/>
        <w:rPr>
          <w:color w:val="000000"/>
          <w:sz w:val="23"/>
        </w:rPr>
      </w:pPr>
      <w:r>
        <w:rPr>
          <w:color w:val="000000"/>
          <w:sz w:val="23"/>
        </w:rPr>
        <w:t>_________________________________________________________________________________</w:t>
      </w:r>
    </w:p>
    <w:p w14:paraId="19070000">
      <w:pPr>
        <w:widowControl w:val="1"/>
        <w:spacing w:line="240" w:lineRule="auto"/>
        <w:ind w:firstLine="0"/>
        <w:jc w:val="left"/>
        <w:rPr>
          <w:color w:val="000000"/>
          <w:sz w:val="23"/>
        </w:rPr>
      </w:pPr>
      <w:r>
        <w:rPr>
          <w:color w:val="000000"/>
          <w:sz w:val="23"/>
        </w:rPr>
        <w:t>Я знаю, что в случае использования лекарственных препаратов накануне</w:t>
      </w:r>
    </w:p>
    <w:p w14:paraId="1A070000">
      <w:pPr>
        <w:widowControl w:val="1"/>
        <w:spacing w:line="240" w:lineRule="auto"/>
        <w:ind w:firstLine="0"/>
        <w:jc w:val="left"/>
        <w:rPr>
          <w:color w:val="000000"/>
          <w:sz w:val="23"/>
        </w:rPr>
      </w:pPr>
      <w:r>
        <w:rPr>
          <w:color w:val="000000"/>
          <w:sz w:val="23"/>
        </w:rPr>
        <w:t>стоматологического приема, должен (на) сообщить об этом врачу.</w:t>
      </w:r>
    </w:p>
    <w:p w14:paraId="1B070000">
      <w:pPr>
        <w:pStyle w:val="Style_17"/>
        <w:widowControl w:val="1"/>
        <w:ind w:firstLine="0"/>
        <w:rPr>
          <w:b w:val="1"/>
        </w:rPr>
      </w:pPr>
      <w:r>
        <w:rPr>
          <w:color w:val="000000"/>
          <w:sz w:val="23"/>
        </w:rPr>
        <w:t>«______»______________20_____г. Подпись пациента ___________________</w:t>
      </w:r>
      <w:bookmarkEnd w:id="78"/>
    </w:p>
    <w:sectPr>
      <w:footerReference r:id="rId2" w:type="default"/>
      <w:pgSz w:h="16838" w:orient="portrait" w:w="11906"/>
      <w:pgMar w:bottom="1134" w:footer="397" w:gutter="0" w:header="397" w:left="1701" w:right="850"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r>
      <w:fldChar w:fldCharType="begin"/>
    </w:r>
    <w:r>
      <w:instrText xml:space="preserve">PAGE </w:instrText>
    </w:r>
    <w:r>
      <w:fldChar w:fldCharType="separate"/>
    </w:r>
    <w:r>
      <w:t xml:space="preserve"> </w:t>
    </w:r>
    <w:r>
      <w:fldChar w:fldCharType="end"/>
    </w: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widowControl w:val="1"/>
      <w:ind/>
      <w:jc w:val="center"/>
    </w:pPr>
    <w:r>
      <w:fldChar w:fldCharType="begin"/>
    </w:r>
    <w:r>
      <w:instrText xml:space="preserve">PAGE </w:instrText>
    </w:r>
    <w:r>
      <w:fldChar w:fldCharType="separate"/>
    </w:r>
    <w:r>
      <w:t xml:space="preserve"> </w:t>
    </w:r>
    <w:r>
      <w:fldChar w:fldCharType="end"/>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widowControl w:val="1"/>
      <w:ind/>
      <w:jc w:val="center"/>
    </w:pPr>
    <w:r>
      <w:fldChar w:fldCharType="begin"/>
    </w:r>
    <w:r>
      <w:instrText xml:space="preserve">PAGE </w:instrText>
    </w:r>
    <w:r>
      <w:fldChar w:fldCharType="separate"/>
    </w:r>
    <w:r>
      <w:t xml:space="preserve"> </w:t>
    </w:r>
    <w:r>
      <w:fldChar w:fldCharType="end"/>
    </w: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1"/>
      <w:ind/>
      <w:jc w:val="center"/>
    </w:pPr>
    <w:r>
      <w:fldChar w:fldCharType="begin"/>
    </w:r>
    <w:r>
      <w:instrText xml:space="preserve">PAGE </w:instrText>
    </w:r>
    <w:r>
      <w:fldChar w:fldCharType="separate"/>
    </w:r>
    <w:r>
      <w:t xml:space="preserve"> </w:t>
    </w:r>
    <w:r>
      <w:fldChar w:fldCharType="end"/>
    </w:r>
  </w:p>
</w:ftr>
</file>

<file path=word/footer5.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1"/>
      <w:widowControl w:val="1"/>
      <w:ind/>
      <w:jc w:val="center"/>
    </w:pPr>
    <w:r>
      <w:fldChar w:fldCharType="begin"/>
    </w:r>
    <w:r>
      <w:instrText xml:space="preserve">PAGE </w:instrText>
    </w:r>
    <w:r>
      <w:fldChar w:fldCharType="separate"/>
    </w:r>
    <w:r>
      <w:t xml:space="preserve"> </w:t>
    </w:r>
    <w:r>
      <w:fldChar w:fldCharType="end"/>
    </w:r>
  </w:p>
</w:ft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left"/>
      <w:pPr>
        <w:widowControl w:val="1"/>
        <w:ind w:hanging="360" w:left="1068"/>
      </w:pPr>
      <w:rPr>
        <w:rFonts w:ascii="Symbol" w:hAnsi="Symbol"/>
      </w:rPr>
    </w:lvl>
    <w:lvl w:ilvl="1">
      <w:start w:val="1"/>
      <w:numFmt w:val="bullet"/>
      <w:lvlText w:val="o"/>
      <w:lvlJc w:val="left"/>
      <w:pPr>
        <w:widowControl w:val="1"/>
        <w:ind w:hanging="360" w:left="1788"/>
      </w:pPr>
      <w:rPr>
        <w:rFonts w:ascii="Courier New" w:hAnsi="Courier New"/>
      </w:rPr>
    </w:lvl>
    <w:lvl w:ilvl="2">
      <w:start w:val="1"/>
      <w:numFmt w:val="bullet"/>
      <w:lvlText w:val="§"/>
      <w:lvlJc w:val="left"/>
      <w:pPr>
        <w:widowControl w:val="1"/>
        <w:ind w:hanging="360" w:left="2508"/>
      </w:pPr>
      <w:rPr>
        <w:rFonts w:ascii="Wingdings" w:hAnsi="Wingdings"/>
      </w:rPr>
    </w:lvl>
    <w:lvl w:ilvl="3">
      <w:start w:val="1"/>
      <w:numFmt w:val="bullet"/>
      <w:lvlText w:val="·"/>
      <w:lvlJc w:val="left"/>
      <w:pPr>
        <w:widowControl w:val="1"/>
        <w:ind w:hanging="360" w:left="3228"/>
      </w:pPr>
      <w:rPr>
        <w:rFonts w:ascii="Symbol" w:hAnsi="Symbol"/>
      </w:rPr>
    </w:lvl>
    <w:lvl w:ilvl="4">
      <w:start w:val="1"/>
      <w:numFmt w:val="bullet"/>
      <w:lvlText w:val="o"/>
      <w:lvlJc w:val="left"/>
      <w:pPr>
        <w:widowControl w:val="1"/>
        <w:ind w:hanging="360" w:left="3948"/>
      </w:pPr>
      <w:rPr>
        <w:rFonts w:ascii="Courier New" w:hAnsi="Courier New"/>
      </w:rPr>
    </w:lvl>
    <w:lvl w:ilvl="5">
      <w:start w:val="1"/>
      <w:numFmt w:val="bullet"/>
      <w:lvlText w:val="§"/>
      <w:lvlJc w:val="left"/>
      <w:pPr>
        <w:widowControl w:val="1"/>
        <w:ind w:hanging="360" w:left="4668"/>
      </w:pPr>
      <w:rPr>
        <w:rFonts w:ascii="Wingdings" w:hAnsi="Wingdings"/>
      </w:rPr>
    </w:lvl>
    <w:lvl w:ilvl="6">
      <w:start w:val="1"/>
      <w:numFmt w:val="bullet"/>
      <w:lvlText w:val="·"/>
      <w:lvlJc w:val="left"/>
      <w:pPr>
        <w:widowControl w:val="1"/>
        <w:ind w:hanging="360" w:left="5388"/>
      </w:pPr>
      <w:rPr>
        <w:rFonts w:ascii="Symbol" w:hAnsi="Symbol"/>
      </w:rPr>
    </w:lvl>
    <w:lvl w:ilvl="7">
      <w:start w:val="1"/>
      <w:numFmt w:val="bullet"/>
      <w:lvlText w:val="o"/>
      <w:lvlJc w:val="left"/>
      <w:pPr>
        <w:widowControl w:val="1"/>
        <w:ind w:hanging="360" w:left="6108"/>
      </w:pPr>
      <w:rPr>
        <w:rFonts w:ascii="Courier New" w:hAnsi="Courier New"/>
      </w:rPr>
    </w:lvl>
    <w:lvl w:ilvl="8">
      <w:start w:val="1"/>
      <w:numFmt w:val="bullet"/>
      <w:lvlText w:val="§"/>
      <w:lvlJc w:val="left"/>
      <w:pPr>
        <w:widowControl w:val="1"/>
        <w:ind w:hanging="360" w:left="6828"/>
      </w:pPr>
      <w:rPr>
        <w:rFonts w:ascii="Wingdings" w:hAnsi="Wingdings"/>
      </w:rPr>
    </w:lvl>
  </w:abstractNum>
  <w:abstractNum w:abstractNumId="1">
    <w:lvl w:ilvl="0">
      <w:start w:val="3"/>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2">
    <w:lvl w:ilvl="0">
      <w:start w:val="3"/>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3">
    <w:lvl w:ilvl="0">
      <w:start w:val="3"/>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4">
    <w:lvl w:ilvl="0">
      <w:start w:val="3"/>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5">
    <w:lvl w:ilvl="0">
      <w:start w:val="3"/>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6">
    <w:lvl w:ilvl="0">
      <w:start w:val="1"/>
      <w:numFmt w:val="bullet"/>
      <w:lvlText w:val="·"/>
      <w:lvlJc w:val="left"/>
      <w:pPr>
        <w:widowControl w:val="1"/>
        <w:ind w:hanging="360" w:left="1068"/>
      </w:pPr>
      <w:rPr>
        <w:rFonts w:ascii="Symbol" w:hAnsi="Symbol"/>
      </w:rPr>
    </w:lvl>
    <w:lvl w:ilvl="1">
      <w:start w:val="1"/>
      <w:numFmt w:val="bullet"/>
      <w:lvlText w:val="o"/>
      <w:lvlJc w:val="left"/>
      <w:pPr>
        <w:widowControl w:val="1"/>
        <w:ind w:hanging="360" w:left="1788"/>
      </w:pPr>
      <w:rPr>
        <w:rFonts w:ascii="Courier New" w:hAnsi="Courier New"/>
      </w:rPr>
    </w:lvl>
    <w:lvl w:ilvl="2">
      <w:start w:val="1"/>
      <w:numFmt w:val="bullet"/>
      <w:lvlText w:val="§"/>
      <w:lvlJc w:val="left"/>
      <w:pPr>
        <w:widowControl w:val="1"/>
        <w:ind w:hanging="360" w:left="2508"/>
      </w:pPr>
      <w:rPr>
        <w:rFonts w:ascii="Wingdings" w:hAnsi="Wingdings"/>
      </w:rPr>
    </w:lvl>
    <w:lvl w:ilvl="3">
      <w:start w:val="1"/>
      <w:numFmt w:val="bullet"/>
      <w:lvlText w:val="·"/>
      <w:lvlJc w:val="left"/>
      <w:pPr>
        <w:widowControl w:val="1"/>
        <w:ind w:hanging="360" w:left="3228"/>
      </w:pPr>
      <w:rPr>
        <w:rFonts w:ascii="Symbol" w:hAnsi="Symbol"/>
      </w:rPr>
    </w:lvl>
    <w:lvl w:ilvl="4">
      <w:start w:val="1"/>
      <w:numFmt w:val="bullet"/>
      <w:lvlText w:val="o"/>
      <w:lvlJc w:val="left"/>
      <w:pPr>
        <w:widowControl w:val="1"/>
        <w:ind w:hanging="360" w:left="3948"/>
      </w:pPr>
      <w:rPr>
        <w:rFonts w:ascii="Courier New" w:hAnsi="Courier New"/>
      </w:rPr>
    </w:lvl>
    <w:lvl w:ilvl="5">
      <w:start w:val="1"/>
      <w:numFmt w:val="bullet"/>
      <w:lvlText w:val="§"/>
      <w:lvlJc w:val="left"/>
      <w:pPr>
        <w:widowControl w:val="1"/>
        <w:ind w:hanging="360" w:left="4668"/>
      </w:pPr>
      <w:rPr>
        <w:rFonts w:ascii="Wingdings" w:hAnsi="Wingdings"/>
      </w:rPr>
    </w:lvl>
    <w:lvl w:ilvl="6">
      <w:start w:val="1"/>
      <w:numFmt w:val="bullet"/>
      <w:lvlText w:val="·"/>
      <w:lvlJc w:val="left"/>
      <w:pPr>
        <w:widowControl w:val="1"/>
        <w:ind w:hanging="360" w:left="5388"/>
      </w:pPr>
      <w:rPr>
        <w:rFonts w:ascii="Symbol" w:hAnsi="Symbol"/>
      </w:rPr>
    </w:lvl>
    <w:lvl w:ilvl="7">
      <w:start w:val="1"/>
      <w:numFmt w:val="bullet"/>
      <w:lvlText w:val="o"/>
      <w:lvlJc w:val="left"/>
      <w:pPr>
        <w:widowControl w:val="1"/>
        <w:ind w:hanging="360" w:left="6108"/>
      </w:pPr>
      <w:rPr>
        <w:rFonts w:ascii="Courier New" w:hAnsi="Courier New"/>
      </w:rPr>
    </w:lvl>
    <w:lvl w:ilvl="8">
      <w:start w:val="1"/>
      <w:numFmt w:val="bullet"/>
      <w:lvlText w:val="§"/>
      <w:lvlJc w:val="left"/>
      <w:pPr>
        <w:widowControl w:val="1"/>
        <w:ind w:hanging="360" w:left="6828"/>
      </w:pPr>
      <w:rPr>
        <w:rFonts w:ascii="Wingdings" w:hAnsi="Wingdings"/>
      </w:rPr>
    </w:lvl>
  </w:abstractNum>
  <w:abstractNum w:abstractNumId="7">
    <w:lvl w:ilvl="0">
      <w:start w:val="1"/>
      <w:numFmt w:val="decimal"/>
      <w:lvlText w:val="%1)"/>
      <w:lvlJc w:val="left"/>
      <w:pPr>
        <w:widowControl w:val="1"/>
        <w:ind w:hanging="360" w:left="1069"/>
      </w:pPr>
    </w:lvl>
    <w:lvl w:ilvl="1">
      <w:start w:val="1"/>
      <w:numFmt w:val="lowerLetter"/>
      <w:lvlText w:val="%2."/>
      <w:lvlJc w:val="left"/>
      <w:pPr>
        <w:widowControl w:val="1"/>
        <w:ind w:hanging="360" w:left="1789"/>
      </w:pPr>
    </w:lvl>
    <w:lvl w:ilvl="2">
      <w:start w:val="1"/>
      <w:numFmt w:val="lowerRoman"/>
      <w:lvlText w:val="%3."/>
      <w:lvlJc w:val="right"/>
      <w:pPr>
        <w:widowControl w:val="1"/>
        <w:ind w:hanging="180" w:left="2509"/>
      </w:pPr>
    </w:lvl>
    <w:lvl w:ilvl="3">
      <w:start w:val="1"/>
      <w:numFmt w:val="decimal"/>
      <w:lvlText w:val="%4."/>
      <w:lvlJc w:val="left"/>
      <w:pPr>
        <w:widowControl w:val="1"/>
        <w:ind w:hanging="360" w:left="3229"/>
      </w:pPr>
    </w:lvl>
    <w:lvl w:ilvl="4">
      <w:start w:val="1"/>
      <w:numFmt w:val="lowerLetter"/>
      <w:lvlText w:val="%5."/>
      <w:lvlJc w:val="left"/>
      <w:pPr>
        <w:widowControl w:val="1"/>
        <w:ind w:hanging="360" w:left="3949"/>
      </w:pPr>
    </w:lvl>
    <w:lvl w:ilvl="5">
      <w:start w:val="1"/>
      <w:numFmt w:val="lowerRoman"/>
      <w:lvlText w:val="%6."/>
      <w:lvlJc w:val="right"/>
      <w:pPr>
        <w:widowControl w:val="1"/>
        <w:ind w:hanging="180" w:left="4669"/>
      </w:pPr>
    </w:lvl>
    <w:lvl w:ilvl="6">
      <w:start w:val="1"/>
      <w:numFmt w:val="decimal"/>
      <w:lvlText w:val="%7."/>
      <w:lvlJc w:val="left"/>
      <w:pPr>
        <w:widowControl w:val="1"/>
        <w:ind w:hanging="360" w:left="5389"/>
      </w:pPr>
    </w:lvl>
    <w:lvl w:ilvl="7">
      <w:start w:val="1"/>
      <w:numFmt w:val="lowerLetter"/>
      <w:lvlText w:val="%8."/>
      <w:lvlJc w:val="left"/>
      <w:pPr>
        <w:widowControl w:val="1"/>
        <w:ind w:hanging="360" w:left="6109"/>
      </w:pPr>
    </w:lvl>
    <w:lvl w:ilvl="8">
      <w:start w:val="1"/>
      <w:numFmt w:val="lowerRoman"/>
      <w:lvlText w:val="%9."/>
      <w:lvlJc w:val="right"/>
      <w:pPr>
        <w:widowControl w:val="1"/>
        <w:ind w:hanging="180" w:left="6829"/>
      </w:pPr>
    </w:lvl>
  </w:abstractNum>
  <w:abstractNum w:abstractNumId="8">
    <w:lvl w:ilvl="0">
      <w:start w:val="3"/>
      <w:numFmt w:val="bullet"/>
      <w:lvlText w:val="-"/>
      <w:lvlJc w:val="left"/>
      <w:pPr>
        <w:widowControl w:val="1"/>
        <w:ind w:hanging="360" w:left="1429"/>
      </w:pPr>
      <w:rPr>
        <w:rFonts w:ascii="Times New Roman" w:hAnsi="Times New Roman"/>
        <w:i w:val="0"/>
      </w:rPr>
    </w:lvl>
    <w:lvl w:ilvl="1">
      <w:start w:val="1"/>
      <w:numFmt w:val="lowerLetter"/>
      <w:lvlText w:val="%2."/>
      <w:lvlJc w:val="left"/>
      <w:pPr>
        <w:widowControl w:val="1"/>
        <w:ind w:hanging="360" w:left="2149"/>
      </w:pPr>
    </w:lvl>
    <w:lvl w:ilvl="2">
      <w:start w:val="1"/>
      <w:numFmt w:val="lowerRoman"/>
      <w:lvlText w:val="%3."/>
      <w:lvlJc w:val="right"/>
      <w:pPr>
        <w:widowControl w:val="1"/>
        <w:ind w:hanging="180" w:left="2869"/>
      </w:pPr>
    </w:lvl>
    <w:lvl w:ilvl="3">
      <w:start w:val="1"/>
      <w:numFmt w:val="decimal"/>
      <w:lvlText w:val="%4."/>
      <w:lvlJc w:val="left"/>
      <w:pPr>
        <w:widowControl w:val="1"/>
        <w:ind w:hanging="360" w:left="3589"/>
      </w:pPr>
    </w:lvl>
    <w:lvl w:ilvl="4">
      <w:start w:val="1"/>
      <w:numFmt w:val="lowerLetter"/>
      <w:lvlText w:val="%5."/>
      <w:lvlJc w:val="left"/>
      <w:pPr>
        <w:widowControl w:val="1"/>
        <w:ind w:hanging="360" w:left="4309"/>
      </w:pPr>
    </w:lvl>
    <w:lvl w:ilvl="5">
      <w:start w:val="1"/>
      <w:numFmt w:val="lowerRoman"/>
      <w:lvlText w:val="%6."/>
      <w:lvlJc w:val="right"/>
      <w:pPr>
        <w:widowControl w:val="1"/>
        <w:ind w:hanging="180" w:left="5029"/>
      </w:pPr>
    </w:lvl>
    <w:lvl w:ilvl="6">
      <w:start w:val="1"/>
      <w:numFmt w:val="decimal"/>
      <w:lvlText w:val="%7."/>
      <w:lvlJc w:val="left"/>
      <w:pPr>
        <w:widowControl w:val="1"/>
        <w:ind w:hanging="360" w:left="5749"/>
      </w:pPr>
    </w:lvl>
    <w:lvl w:ilvl="7">
      <w:start w:val="1"/>
      <w:numFmt w:val="lowerLetter"/>
      <w:lvlText w:val="%8."/>
      <w:lvlJc w:val="left"/>
      <w:pPr>
        <w:widowControl w:val="1"/>
        <w:ind w:hanging="360" w:left="6469"/>
      </w:pPr>
    </w:lvl>
    <w:lvl w:ilvl="8">
      <w:start w:val="1"/>
      <w:numFmt w:val="lowerRoman"/>
      <w:lvlText w:val="%9."/>
      <w:lvlJc w:val="right"/>
      <w:pPr>
        <w:widowControl w:val="1"/>
        <w:ind w:hanging="180" w:left="7189"/>
      </w:pPr>
    </w:lvl>
  </w:abstractNum>
  <w:abstractNum w:abstractNumId="9">
    <w:lvl w:ilvl="0">
      <w:numFmt w:val="bullet"/>
      <w:lvlText w:val="-"/>
      <w:lvlJc w:val="left"/>
      <w:pPr>
        <w:widowControl w:val="1"/>
        <w:ind w:hanging="360" w:left="1429"/>
      </w:pPr>
      <w:rPr>
        <w:rFonts w:ascii="Times New Roman" w:hAnsi="Times New Roman"/>
      </w:rPr>
    </w:lvl>
    <w:lvl w:ilvl="1">
      <w:start w:val="1"/>
      <w:numFmt w:val="bullet"/>
      <w:lvlText w:val="o"/>
      <w:lvlJc w:val="left"/>
      <w:pPr>
        <w:widowControl w:val="1"/>
        <w:ind w:hanging="360" w:left="2149"/>
      </w:pPr>
      <w:rPr>
        <w:rFonts w:ascii="Courier New" w:hAnsi="Courier New"/>
      </w:rPr>
    </w:lvl>
    <w:lvl w:ilvl="2">
      <w:start w:val="1"/>
      <w:numFmt w:val="bullet"/>
      <w:lvlText w:val=""/>
      <w:lvlJc w:val="left"/>
      <w:pPr>
        <w:widowControl w:val="1"/>
        <w:ind w:hanging="360" w:left="2869"/>
      </w:pPr>
      <w:rPr>
        <w:rFonts w:ascii="Wingdings" w:hAnsi="Wingdings"/>
      </w:rPr>
    </w:lvl>
    <w:lvl w:ilvl="3">
      <w:start w:val="1"/>
      <w:numFmt w:val="bullet"/>
      <w:lvlText w:val=""/>
      <w:lvlJc w:val="left"/>
      <w:pPr>
        <w:widowControl w:val="1"/>
        <w:ind w:hanging="360" w:left="3589"/>
      </w:pPr>
      <w:rPr>
        <w:rFonts w:ascii="Symbol" w:hAnsi="Symbol"/>
      </w:rPr>
    </w:lvl>
    <w:lvl w:ilvl="4">
      <w:start w:val="1"/>
      <w:numFmt w:val="bullet"/>
      <w:lvlText w:val="o"/>
      <w:lvlJc w:val="left"/>
      <w:pPr>
        <w:widowControl w:val="1"/>
        <w:ind w:hanging="360" w:left="4309"/>
      </w:pPr>
      <w:rPr>
        <w:rFonts w:ascii="Courier New" w:hAnsi="Courier New"/>
      </w:rPr>
    </w:lvl>
    <w:lvl w:ilvl="5">
      <w:start w:val="1"/>
      <w:numFmt w:val="bullet"/>
      <w:lvlText w:val=""/>
      <w:lvlJc w:val="left"/>
      <w:pPr>
        <w:widowControl w:val="1"/>
        <w:ind w:hanging="360" w:left="5029"/>
      </w:pPr>
      <w:rPr>
        <w:rFonts w:ascii="Wingdings" w:hAnsi="Wingdings"/>
      </w:rPr>
    </w:lvl>
    <w:lvl w:ilvl="6">
      <w:start w:val="1"/>
      <w:numFmt w:val="bullet"/>
      <w:lvlText w:val=""/>
      <w:lvlJc w:val="left"/>
      <w:pPr>
        <w:widowControl w:val="1"/>
        <w:ind w:hanging="360" w:left="5749"/>
      </w:pPr>
      <w:rPr>
        <w:rFonts w:ascii="Symbol" w:hAnsi="Symbol"/>
      </w:rPr>
    </w:lvl>
    <w:lvl w:ilvl="7">
      <w:start w:val="1"/>
      <w:numFmt w:val="bullet"/>
      <w:lvlText w:val="o"/>
      <w:lvlJc w:val="left"/>
      <w:pPr>
        <w:widowControl w:val="1"/>
        <w:ind w:hanging="360" w:left="6469"/>
      </w:pPr>
      <w:rPr>
        <w:rFonts w:ascii="Courier New" w:hAnsi="Courier New"/>
      </w:rPr>
    </w:lvl>
    <w:lvl w:ilvl="8">
      <w:start w:val="1"/>
      <w:numFmt w:val="bullet"/>
      <w:lvlText w:val=""/>
      <w:lvlJc w:val="left"/>
      <w:pPr>
        <w:widowControl w:val="1"/>
        <w:ind w:hanging="360" w:left="7189"/>
      </w:pPr>
      <w:rPr>
        <w:rFonts w:ascii="Wingdings" w:hAnsi="Wingdings"/>
      </w:rPr>
    </w:lvl>
  </w:abstractNum>
  <w:abstractNum w:abstractNumId="10">
    <w:lvl w:ilvl="0">
      <w:start w:val="1"/>
      <w:numFmt w:val="bullet"/>
      <w:lvlText w:val=""/>
      <w:lvlJc w:val="left"/>
      <w:pPr>
        <w:widowControl w:val="1"/>
        <w:ind w:hanging="360" w:left="1080"/>
      </w:pPr>
      <w:rPr>
        <w:rFonts w:ascii="Symbol" w:hAnsi="Symbol"/>
      </w:rPr>
    </w:lvl>
    <w:lvl w:ilvl="1">
      <w:start w:val="1"/>
      <w:numFmt w:val="bullet"/>
      <w:lvlText w:val="o"/>
      <w:lvlJc w:val="left"/>
      <w:pPr>
        <w:widowControl w:val="1"/>
        <w:ind w:hanging="360" w:left="1800"/>
      </w:pPr>
      <w:rPr>
        <w:rFonts w:ascii="Courier New" w:hAnsi="Courier New"/>
      </w:rPr>
    </w:lvl>
    <w:lvl w:ilvl="2">
      <w:start w:val="1"/>
      <w:numFmt w:val="bullet"/>
      <w:lvlText w:val=""/>
      <w:lvlJc w:val="left"/>
      <w:pPr>
        <w:widowControl w:val="1"/>
        <w:ind w:hanging="360" w:left="2520"/>
      </w:pPr>
      <w:rPr>
        <w:rFonts w:ascii="Wingdings" w:hAnsi="Wingdings"/>
      </w:rPr>
    </w:lvl>
    <w:lvl w:ilvl="3">
      <w:start w:val="1"/>
      <w:numFmt w:val="bullet"/>
      <w:lvlText w:val=""/>
      <w:lvlJc w:val="left"/>
      <w:pPr>
        <w:widowControl w:val="1"/>
        <w:ind w:hanging="360" w:left="3240"/>
      </w:pPr>
      <w:rPr>
        <w:rFonts w:ascii="Symbol" w:hAnsi="Symbol"/>
      </w:rPr>
    </w:lvl>
    <w:lvl w:ilvl="4">
      <w:start w:val="1"/>
      <w:numFmt w:val="bullet"/>
      <w:lvlText w:val="o"/>
      <w:lvlJc w:val="left"/>
      <w:pPr>
        <w:widowControl w:val="1"/>
        <w:ind w:hanging="360" w:left="3960"/>
      </w:pPr>
      <w:rPr>
        <w:rFonts w:ascii="Courier New" w:hAnsi="Courier New"/>
      </w:rPr>
    </w:lvl>
    <w:lvl w:ilvl="5">
      <w:start w:val="1"/>
      <w:numFmt w:val="bullet"/>
      <w:lvlText w:val=""/>
      <w:lvlJc w:val="left"/>
      <w:pPr>
        <w:widowControl w:val="1"/>
        <w:ind w:hanging="360" w:left="4680"/>
      </w:pPr>
      <w:rPr>
        <w:rFonts w:ascii="Wingdings" w:hAnsi="Wingdings"/>
      </w:rPr>
    </w:lvl>
    <w:lvl w:ilvl="6">
      <w:start w:val="1"/>
      <w:numFmt w:val="bullet"/>
      <w:lvlText w:val=""/>
      <w:lvlJc w:val="left"/>
      <w:pPr>
        <w:widowControl w:val="1"/>
        <w:ind w:hanging="360" w:left="5400"/>
      </w:pPr>
      <w:rPr>
        <w:rFonts w:ascii="Symbol" w:hAnsi="Symbol"/>
      </w:rPr>
    </w:lvl>
    <w:lvl w:ilvl="7">
      <w:start w:val="1"/>
      <w:numFmt w:val="bullet"/>
      <w:lvlText w:val="o"/>
      <w:lvlJc w:val="left"/>
      <w:pPr>
        <w:widowControl w:val="1"/>
        <w:ind w:hanging="360" w:left="6120"/>
      </w:pPr>
      <w:rPr>
        <w:rFonts w:ascii="Courier New" w:hAnsi="Courier New"/>
      </w:rPr>
    </w:lvl>
    <w:lvl w:ilvl="8">
      <w:start w:val="1"/>
      <w:numFmt w:val="bullet"/>
      <w:lvlText w:val=""/>
      <w:lvlJc w:val="left"/>
      <w:pPr>
        <w:widowControl w:val="1"/>
        <w:ind w:hanging="360" w:left="6840"/>
      </w:pPr>
      <w:rPr>
        <w:rFonts w:ascii="Wingdings" w:hAnsi="Wingdings"/>
      </w:rPr>
    </w:lvl>
  </w:abstractNum>
  <w:abstractNum w:abstractNumId="11">
    <w:lvl w:ilvl="0">
      <w:start w:val="1"/>
      <w:numFmt w:val="bullet"/>
      <w:lvlText w:val=""/>
      <w:lvlJc w:val="left"/>
      <w:pPr>
        <w:widowControl w:val="1"/>
        <w:ind w:hanging="360" w:left="720"/>
      </w:pPr>
      <w:rPr>
        <w:rFonts w:ascii="Symbol" w:hAnsi="Symbol"/>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abstractNum w:abstractNumId="12">
    <w:lvl w:ilvl="0">
      <w:start w:val="1"/>
      <w:numFmt w:val="decimal"/>
      <w:lvlText w:val="%1."/>
      <w:lvlJc w:val="left"/>
      <w:pPr>
        <w:widowControl w:val="1"/>
        <w:ind w:hanging="360" w:left="502"/>
      </w:pPr>
    </w:lvl>
    <w:lvl w:ilvl="1">
      <w:start w:val="1"/>
      <w:numFmt w:val="lowerLetter"/>
      <w:lvlText w:val="%2."/>
      <w:lvlJc w:val="left"/>
      <w:pPr>
        <w:widowControl w:val="1"/>
        <w:ind w:hanging="360" w:left="2149"/>
      </w:pPr>
    </w:lvl>
    <w:lvl w:ilvl="2">
      <w:start w:val="1"/>
      <w:numFmt w:val="lowerRoman"/>
      <w:lvlText w:val="%3."/>
      <w:lvlJc w:val="right"/>
      <w:pPr>
        <w:widowControl w:val="1"/>
        <w:ind w:hanging="180" w:left="2869"/>
      </w:pPr>
    </w:lvl>
    <w:lvl w:ilvl="3">
      <w:start w:val="1"/>
      <w:numFmt w:val="decimal"/>
      <w:lvlText w:val="%4."/>
      <w:lvlJc w:val="left"/>
      <w:pPr>
        <w:widowControl w:val="1"/>
        <w:ind w:hanging="360" w:left="3589"/>
      </w:pPr>
    </w:lvl>
    <w:lvl w:ilvl="4">
      <w:start w:val="1"/>
      <w:numFmt w:val="lowerLetter"/>
      <w:lvlText w:val="%5."/>
      <w:lvlJc w:val="left"/>
      <w:pPr>
        <w:widowControl w:val="1"/>
        <w:ind w:hanging="360" w:left="4309"/>
      </w:pPr>
    </w:lvl>
    <w:lvl w:ilvl="5">
      <w:start w:val="1"/>
      <w:numFmt w:val="lowerRoman"/>
      <w:lvlText w:val="%6."/>
      <w:lvlJc w:val="right"/>
      <w:pPr>
        <w:widowControl w:val="1"/>
        <w:ind w:hanging="180" w:left="5029"/>
      </w:pPr>
    </w:lvl>
    <w:lvl w:ilvl="6">
      <w:start w:val="1"/>
      <w:numFmt w:val="decimal"/>
      <w:lvlText w:val="%7."/>
      <w:lvlJc w:val="left"/>
      <w:pPr>
        <w:widowControl w:val="1"/>
        <w:ind w:hanging="360" w:left="5749"/>
      </w:pPr>
    </w:lvl>
    <w:lvl w:ilvl="7">
      <w:start w:val="1"/>
      <w:numFmt w:val="lowerLetter"/>
      <w:lvlText w:val="%8."/>
      <w:lvlJc w:val="left"/>
      <w:pPr>
        <w:widowControl w:val="1"/>
        <w:ind w:hanging="360" w:left="6469"/>
      </w:pPr>
    </w:lvl>
    <w:lvl w:ilvl="8">
      <w:start w:val="1"/>
      <w:numFmt w:val="lowerRoman"/>
      <w:lvlText w:val="%9."/>
      <w:lvlJc w:val="right"/>
      <w:pPr>
        <w:widowControl w:val="1"/>
        <w:ind w:hanging="180" w:left="7189"/>
      </w:pPr>
    </w:lvl>
  </w:abstractNum>
  <w:abstractNum w:abstractNumId="13">
    <w:lvl w:ilvl="0">
      <w:start w:val="1"/>
      <w:numFmt w:val="decimal"/>
      <w:lvlText w:val="%1."/>
      <w:lvlJc w:val="left"/>
      <w:pPr>
        <w:widowControl w:val="1"/>
        <w:ind w:hanging="360" w:left="1069"/>
      </w:pPr>
    </w:lvl>
    <w:lvl w:ilvl="1">
      <w:start w:val="1"/>
      <w:numFmt w:val="lowerLetter"/>
      <w:lvlText w:val="%2."/>
      <w:lvlJc w:val="left"/>
      <w:pPr>
        <w:widowControl w:val="1"/>
        <w:ind w:hanging="360" w:left="1789"/>
      </w:pPr>
    </w:lvl>
    <w:lvl w:ilvl="2">
      <w:start w:val="1"/>
      <w:numFmt w:val="lowerRoman"/>
      <w:lvlText w:val="%3."/>
      <w:lvlJc w:val="right"/>
      <w:pPr>
        <w:widowControl w:val="1"/>
        <w:ind w:hanging="180" w:left="2509"/>
      </w:pPr>
    </w:lvl>
    <w:lvl w:ilvl="3">
      <w:start w:val="1"/>
      <w:numFmt w:val="decimal"/>
      <w:lvlText w:val="%4."/>
      <w:lvlJc w:val="left"/>
      <w:pPr>
        <w:widowControl w:val="1"/>
        <w:ind w:hanging="360" w:left="3229"/>
      </w:pPr>
    </w:lvl>
    <w:lvl w:ilvl="4">
      <w:start w:val="1"/>
      <w:numFmt w:val="lowerLetter"/>
      <w:lvlText w:val="%5."/>
      <w:lvlJc w:val="left"/>
      <w:pPr>
        <w:widowControl w:val="1"/>
        <w:ind w:hanging="360" w:left="3949"/>
      </w:pPr>
    </w:lvl>
    <w:lvl w:ilvl="5">
      <w:start w:val="1"/>
      <w:numFmt w:val="lowerRoman"/>
      <w:lvlText w:val="%6."/>
      <w:lvlJc w:val="right"/>
      <w:pPr>
        <w:widowControl w:val="1"/>
        <w:ind w:hanging="180" w:left="4669"/>
      </w:pPr>
    </w:lvl>
    <w:lvl w:ilvl="6">
      <w:start w:val="1"/>
      <w:numFmt w:val="decimal"/>
      <w:lvlText w:val="%7."/>
      <w:lvlJc w:val="left"/>
      <w:pPr>
        <w:widowControl w:val="1"/>
        <w:ind w:hanging="360" w:left="5389"/>
      </w:pPr>
    </w:lvl>
    <w:lvl w:ilvl="7">
      <w:start w:val="1"/>
      <w:numFmt w:val="lowerLetter"/>
      <w:lvlText w:val="%8."/>
      <w:lvlJc w:val="left"/>
      <w:pPr>
        <w:widowControl w:val="1"/>
        <w:ind w:hanging="360" w:left="6109"/>
      </w:pPr>
    </w:lvl>
    <w:lvl w:ilvl="8">
      <w:start w:val="1"/>
      <w:numFmt w:val="lowerRoman"/>
      <w:lvlText w:val="%9."/>
      <w:lvlJc w:val="right"/>
      <w:pPr>
        <w:widowControl w:val="1"/>
        <w:ind w:hanging="180" w:left="6829"/>
      </w:pPr>
    </w:lvl>
  </w:abstractNum>
  <w:abstractNum w:abstractNumId="14">
    <w:lvl w:ilvl="0">
      <w:start w:val="1"/>
      <w:numFmt w:val="decimal"/>
      <w:lvlText w:val="%1."/>
      <w:lvlJc w:val="left"/>
      <w:pPr>
        <w:widowControl w:val="1"/>
        <w:ind w:hanging="360" w:left="1069"/>
      </w:pPr>
    </w:lvl>
    <w:lvl w:ilvl="1">
      <w:start w:val="1"/>
      <w:numFmt w:val="decimal"/>
      <w:lvlText w:val="%1.%2."/>
      <w:lvlJc w:val="left"/>
      <w:pPr>
        <w:widowControl w:val="1"/>
        <w:ind w:hanging="360" w:left="1069"/>
      </w:pPr>
    </w:lvl>
    <w:lvl w:ilvl="2">
      <w:start w:val="1"/>
      <w:numFmt w:val="decimal"/>
      <w:lvlText w:val="%1.%2.%3."/>
      <w:lvlJc w:val="left"/>
      <w:pPr>
        <w:widowControl w:val="1"/>
        <w:ind w:hanging="720" w:left="1429"/>
      </w:pPr>
    </w:lvl>
    <w:lvl w:ilvl="3">
      <w:start w:val="1"/>
      <w:numFmt w:val="decimal"/>
      <w:lvlText w:val="%1.%2.%3.%4."/>
      <w:lvlJc w:val="left"/>
      <w:pPr>
        <w:widowControl w:val="1"/>
        <w:ind w:hanging="720" w:left="1429"/>
      </w:pPr>
    </w:lvl>
    <w:lvl w:ilvl="4">
      <w:start w:val="1"/>
      <w:numFmt w:val="decimal"/>
      <w:lvlText w:val="%1.%2.%3.%4.%5."/>
      <w:lvlJc w:val="left"/>
      <w:pPr>
        <w:widowControl w:val="1"/>
        <w:ind w:hanging="1080" w:left="1789"/>
      </w:pPr>
    </w:lvl>
    <w:lvl w:ilvl="5">
      <w:start w:val="1"/>
      <w:numFmt w:val="decimal"/>
      <w:lvlText w:val="%1.%2.%3.%4.%5.%6."/>
      <w:lvlJc w:val="left"/>
      <w:pPr>
        <w:widowControl w:val="1"/>
        <w:ind w:hanging="1080" w:left="1789"/>
      </w:pPr>
    </w:lvl>
    <w:lvl w:ilvl="6">
      <w:start w:val="1"/>
      <w:numFmt w:val="decimal"/>
      <w:lvlText w:val="%1.%2.%3.%4.%5.%6.%7."/>
      <w:lvlJc w:val="left"/>
      <w:pPr>
        <w:widowControl w:val="1"/>
        <w:ind w:hanging="1440" w:left="2149"/>
      </w:pPr>
    </w:lvl>
    <w:lvl w:ilvl="7">
      <w:start w:val="1"/>
      <w:numFmt w:val="decimal"/>
      <w:lvlText w:val="%1.%2.%3.%4.%5.%6.%7.%8."/>
      <w:lvlJc w:val="left"/>
      <w:pPr>
        <w:widowControl w:val="1"/>
        <w:ind w:hanging="1440" w:left="2149"/>
      </w:pPr>
    </w:lvl>
    <w:lvl w:ilvl="8">
      <w:start w:val="1"/>
      <w:numFmt w:val="decimal"/>
      <w:lvlText w:val="%1.%2.%3.%4.%5.%6.%7.%8.%9."/>
      <w:lvlJc w:val="left"/>
      <w:pPr>
        <w:widowControl w:val="1"/>
        <w:ind w:hanging="1800" w:left="2509"/>
      </w:pPr>
    </w:lvl>
  </w:abstractNum>
  <w:abstractNum w:abstractNumId="15">
    <w:lvl w:ilvl="0">
      <w:numFmt w:val="bullet"/>
      <w:lvlText w:val="-"/>
      <w:lvlJc w:val="left"/>
      <w:pPr>
        <w:widowControl w:val="1"/>
        <w:ind w:hanging="360" w:left="720"/>
      </w:pPr>
      <w:rPr>
        <w:rFonts w:ascii="Times New Roman" w:hAnsi="Times New Roman"/>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abstractNum w:abstractNumId="16">
    <w:lvl w:ilvl="0">
      <w:start w:val="1"/>
      <w:numFmt w:val="bullet"/>
      <w:pStyle w:val="Style_12"/>
      <w:lvlText w:val="o"/>
      <w:lvlJc w:val="left"/>
      <w:pPr>
        <w:widowControl w:val="1"/>
        <w:ind w:hanging="360" w:left="720"/>
      </w:pPr>
      <w:rPr>
        <w:rFonts w:ascii="Courier New" w:hAnsi="Courier New"/>
      </w:rPr>
    </w:lvl>
    <w:lvl w:ilvl="1">
      <w:start w:val="1"/>
      <w:numFmt w:val="bullet"/>
      <w:lvlText w:val="o"/>
      <w:lvlJc w:val="left"/>
      <w:pPr>
        <w:widowControl w:val="1"/>
        <w:ind w:hanging="360" w:left="1440"/>
      </w:pPr>
      <w:rPr>
        <w:rFonts w:ascii="Courier New" w:hAnsi="Courier New"/>
      </w:rPr>
    </w:lvl>
    <w:lvl w:ilvl="2">
      <w:start w:val="1"/>
      <w:numFmt w:val="bullet"/>
      <w:lvlText w:val=""/>
      <w:lvlJc w:val="left"/>
      <w:pPr>
        <w:widowControl w:val="1"/>
        <w:ind w:hanging="360" w:left="2160"/>
      </w:pPr>
      <w:rPr>
        <w:rFonts w:ascii="Wingdings" w:hAnsi="Wingdings"/>
      </w:rPr>
    </w:lvl>
    <w:lvl w:ilvl="3">
      <w:start w:val="1"/>
      <w:numFmt w:val="bullet"/>
      <w:lvlText w:val=""/>
      <w:lvlJc w:val="left"/>
      <w:pPr>
        <w:widowControl w:val="1"/>
        <w:ind w:hanging="360" w:left="2880"/>
      </w:pPr>
      <w:rPr>
        <w:rFonts w:ascii="Symbol" w:hAnsi="Symbol"/>
      </w:rPr>
    </w:lvl>
    <w:lvl w:ilvl="4">
      <w:start w:val="1"/>
      <w:numFmt w:val="bullet"/>
      <w:lvlText w:val="o"/>
      <w:lvlJc w:val="left"/>
      <w:pPr>
        <w:widowControl w:val="1"/>
        <w:ind w:hanging="360" w:left="3600"/>
      </w:pPr>
      <w:rPr>
        <w:rFonts w:ascii="Courier New" w:hAnsi="Courier New"/>
      </w:rPr>
    </w:lvl>
    <w:lvl w:ilvl="5">
      <w:start w:val="1"/>
      <w:numFmt w:val="bullet"/>
      <w:lvlText w:val=""/>
      <w:lvlJc w:val="left"/>
      <w:pPr>
        <w:widowControl w:val="1"/>
        <w:ind w:hanging="360" w:left="4320"/>
      </w:pPr>
      <w:rPr>
        <w:rFonts w:ascii="Wingdings" w:hAnsi="Wingdings"/>
      </w:rPr>
    </w:lvl>
    <w:lvl w:ilvl="6">
      <w:start w:val="1"/>
      <w:numFmt w:val="bullet"/>
      <w:lvlText w:val=""/>
      <w:lvlJc w:val="left"/>
      <w:pPr>
        <w:widowControl w:val="1"/>
        <w:ind w:hanging="360" w:left="5040"/>
      </w:pPr>
      <w:rPr>
        <w:rFonts w:ascii="Symbol" w:hAnsi="Symbol"/>
      </w:rPr>
    </w:lvl>
    <w:lvl w:ilvl="7">
      <w:start w:val="1"/>
      <w:numFmt w:val="bullet"/>
      <w:lvlText w:val="o"/>
      <w:lvlJc w:val="left"/>
      <w:pPr>
        <w:widowControl w:val="1"/>
        <w:ind w:hanging="360" w:left="5760"/>
      </w:pPr>
      <w:rPr>
        <w:rFonts w:ascii="Courier New" w:hAnsi="Courier New"/>
      </w:rPr>
    </w:lvl>
    <w:lvl w:ilvl="8">
      <w:start w:val="1"/>
      <w:numFmt w:val="bullet"/>
      <w:lvlText w:val=""/>
      <w:lvlJc w:val="left"/>
      <w:pPr>
        <w:widowControl w:val="1"/>
        <w:ind w:hanging="360" w:left="6480"/>
      </w:pPr>
      <w:rPr>
        <w:rFonts w:ascii="Wingdings" w:hAnsi="Wingdings"/>
      </w:rPr>
    </w:lvl>
  </w:abstractNum>
  <w:abstractNum w:abstractNumId="17">
    <w:lvl w:ilvl="0">
      <w:start w:val="1"/>
      <w:numFmt w:val="bullet"/>
      <w:pStyle w:val="Style_24"/>
      <w:lvlText w:val="·"/>
      <w:lvlJc w:val="left"/>
      <w:pPr>
        <w:widowControl w:val="1"/>
        <w:tabs>
          <w:tab w:leader="none" w:pos="360" w:val="left"/>
        </w:tabs>
        <w:ind w:hanging="360" w:left="360"/>
      </w:pPr>
      <w:rPr>
        <w:rFonts w:ascii="Symbol" w:hAnsi="Symbol"/>
        <w:sz w:val="20"/>
      </w:rPr>
    </w:lvl>
    <w:lvl w:ilvl="1">
      <w:start w:val="1"/>
      <w:numFmt w:val="bullet"/>
      <w:lvlText w:val="o"/>
      <w:lvlJc w:val="left"/>
      <w:pPr>
        <w:widowControl w:val="1"/>
        <w:tabs>
          <w:tab w:leader="none" w:pos="1440" w:val="left"/>
        </w:tabs>
        <w:ind w:hanging="360" w:left="1440"/>
      </w:pPr>
      <w:rPr>
        <w:rFonts w:ascii="Courier New" w:hAnsi="Courier New"/>
        <w:sz w:val="20"/>
      </w:rPr>
    </w:lvl>
    <w:lvl w:ilvl="2">
      <w:start w:val="1"/>
      <w:numFmt w:val="bullet"/>
      <w:lvlText w:val="§"/>
      <w:lvlJc w:val="left"/>
      <w:pPr>
        <w:widowControl w:val="1"/>
        <w:tabs>
          <w:tab w:leader="none" w:pos="2160" w:val="left"/>
        </w:tabs>
        <w:ind w:hanging="360" w:left="2160"/>
      </w:pPr>
      <w:rPr>
        <w:rFonts w:ascii="Wingdings" w:hAnsi="Wingdings"/>
        <w:sz w:val="20"/>
      </w:rPr>
    </w:lvl>
    <w:lvl w:ilvl="3">
      <w:start w:val="1"/>
      <w:numFmt w:val="bullet"/>
      <w:lvlText w:val="§"/>
      <w:lvlJc w:val="left"/>
      <w:pPr>
        <w:widowControl w:val="1"/>
        <w:tabs>
          <w:tab w:leader="none" w:pos="2880" w:val="left"/>
        </w:tabs>
        <w:ind w:hanging="360" w:left="2880"/>
      </w:pPr>
      <w:rPr>
        <w:rFonts w:ascii="Wingdings" w:hAnsi="Wingdings"/>
        <w:sz w:val="20"/>
      </w:rPr>
    </w:lvl>
    <w:lvl w:ilvl="4">
      <w:start w:val="1"/>
      <w:numFmt w:val="bullet"/>
      <w:lvlText w:val="§"/>
      <w:lvlJc w:val="left"/>
      <w:pPr>
        <w:widowControl w:val="1"/>
        <w:tabs>
          <w:tab w:leader="none" w:pos="3600" w:val="left"/>
        </w:tabs>
        <w:ind w:hanging="360" w:left="3600"/>
      </w:pPr>
      <w:rPr>
        <w:rFonts w:ascii="Wingdings" w:hAnsi="Wingdings"/>
        <w:sz w:val="20"/>
      </w:rPr>
    </w:lvl>
    <w:lvl w:ilvl="5">
      <w:start w:val="1"/>
      <w:numFmt w:val="bullet"/>
      <w:lvlText w:val="§"/>
      <w:lvlJc w:val="left"/>
      <w:pPr>
        <w:widowControl w:val="1"/>
        <w:tabs>
          <w:tab w:leader="none" w:pos="4320" w:val="left"/>
        </w:tabs>
        <w:ind w:hanging="360" w:left="4320"/>
      </w:pPr>
      <w:rPr>
        <w:rFonts w:ascii="Wingdings" w:hAnsi="Wingdings"/>
        <w:sz w:val="20"/>
      </w:rPr>
    </w:lvl>
    <w:lvl w:ilvl="6">
      <w:start w:val="1"/>
      <w:numFmt w:val="bullet"/>
      <w:lvlText w:val="§"/>
      <w:lvlJc w:val="left"/>
      <w:pPr>
        <w:widowControl w:val="1"/>
        <w:tabs>
          <w:tab w:leader="none" w:pos="5040" w:val="left"/>
        </w:tabs>
        <w:ind w:hanging="360" w:left="5040"/>
      </w:pPr>
      <w:rPr>
        <w:rFonts w:ascii="Wingdings" w:hAnsi="Wingdings"/>
        <w:sz w:val="20"/>
      </w:rPr>
    </w:lvl>
    <w:lvl w:ilvl="7">
      <w:start w:val="1"/>
      <w:numFmt w:val="bullet"/>
      <w:lvlText w:val="§"/>
      <w:lvlJc w:val="left"/>
      <w:pPr>
        <w:widowControl w:val="1"/>
        <w:tabs>
          <w:tab w:leader="none" w:pos="5760" w:val="left"/>
        </w:tabs>
        <w:ind w:hanging="360" w:left="5760"/>
      </w:pPr>
      <w:rPr>
        <w:rFonts w:ascii="Wingdings" w:hAnsi="Wingdings"/>
        <w:sz w:val="20"/>
      </w:rPr>
    </w:lvl>
    <w:lvl w:ilvl="8">
      <w:start w:val="1"/>
      <w:numFmt w:val="bullet"/>
      <w:lvlText w:val="§"/>
      <w:lvlJc w:val="left"/>
      <w:pPr>
        <w:widowControl w:val="1"/>
        <w:tabs>
          <w:tab w:leader="none" w:pos="6480" w:val="left"/>
        </w:tabs>
        <w:ind w:hanging="360" w:left="6480"/>
      </w:pPr>
      <w:rPr>
        <w:rFonts w:ascii="Wingdings" w:hAnsi="Wingdings"/>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3" w:type="paragraph">
    <w:name w:val="Normal"/>
    <w:link w:val="Style_33_ch"/>
    <w:uiPriority w:val="0"/>
    <w:qFormat/>
    <w:pPr>
      <w:widowControl w:val="1"/>
      <w:spacing w:line="360" w:lineRule="auto"/>
      <w:ind w:firstLine="709"/>
      <w:jc w:val="both"/>
    </w:pPr>
    <w:rPr>
      <w:rFonts w:ascii="Times New Roman" w:hAnsi="Times New Roman"/>
      <w:sz w:val="24"/>
    </w:rPr>
  </w:style>
  <w:style w:default="1" w:styleId="Style_33_ch" w:type="character">
    <w:name w:val="Normal"/>
    <w:link w:val="Style_33"/>
    <w:rPr>
      <w:rFonts w:ascii="Times New Roman" w:hAnsi="Times New Roman"/>
      <w:sz w:val="24"/>
    </w:rPr>
  </w:style>
  <w:style w:styleId="Style_34" w:type="paragraph">
    <w:name w:val="ListLabel 8"/>
    <w:link w:val="Style_34_ch"/>
  </w:style>
  <w:style w:styleId="Style_34_ch" w:type="character">
    <w:name w:val="ListLabel 8"/>
    <w:link w:val="Style_34"/>
  </w:style>
  <w:style w:styleId="Style_35" w:type="paragraph">
    <w:name w:val="Таблицы"/>
    <w:basedOn w:val="Style_7"/>
    <w:link w:val="Style_35_ch"/>
    <w:pPr>
      <w:widowControl w:val="1"/>
      <w:spacing w:line="240" w:lineRule="auto"/>
      <w:ind w:firstLine="0"/>
    </w:pPr>
  </w:style>
  <w:style w:styleId="Style_35_ch" w:type="character">
    <w:name w:val="Таблицы"/>
    <w:basedOn w:val="Style_7_ch"/>
    <w:link w:val="Style_35"/>
  </w:style>
  <w:style w:styleId="Style_36" w:type="paragraph">
    <w:name w:val="Верхний колонтитул Знак"/>
    <w:basedOn w:val="Style_37"/>
    <w:link w:val="Style_36_ch"/>
  </w:style>
  <w:style w:styleId="Style_36_ch" w:type="character">
    <w:name w:val="Верхний колонтитул Знак"/>
    <w:basedOn w:val="Style_37_ch"/>
    <w:link w:val="Style_36"/>
  </w:style>
  <w:style w:styleId="Style_38" w:type="paragraph">
    <w:name w:val="Normal1"/>
    <w:link w:val="Style_38_ch"/>
    <w:pPr>
      <w:widowControl w:val="0"/>
      <w:ind/>
      <w:jc w:val="both"/>
    </w:pPr>
    <w:rPr>
      <w:rFonts w:ascii="Times New Roman" w:hAnsi="Times New Roman"/>
    </w:rPr>
  </w:style>
  <w:style w:styleId="Style_38_ch" w:type="character">
    <w:name w:val="Normal1"/>
    <w:link w:val="Style_38"/>
    <w:rPr>
      <w:rFonts w:ascii="Times New Roman" w:hAnsi="Times New Roman"/>
    </w:rPr>
  </w:style>
  <w:style w:styleId="Style_39" w:type="paragraph">
    <w:name w:val="ListLabel 6"/>
    <w:link w:val="Style_39_ch"/>
  </w:style>
  <w:style w:styleId="Style_39_ch" w:type="character">
    <w:name w:val="ListLabel 6"/>
    <w:link w:val="Style_39"/>
  </w:style>
  <w:style w:styleId="Style_10" w:type="paragraph">
    <w:name w:val="toc 2"/>
    <w:basedOn w:val="Style_33"/>
    <w:link w:val="Style_10_ch"/>
    <w:uiPriority w:val="39"/>
    <w:pPr>
      <w:widowControl w:val="1"/>
      <w:tabs>
        <w:tab w:leader="dot" w:pos="9345" w:val="right"/>
      </w:tabs>
      <w:spacing w:after="200" w:line="276" w:lineRule="auto"/>
      <w:ind w:firstLine="0"/>
    </w:pPr>
    <w:rPr>
      <w:rFonts w:ascii="Calibri" w:hAnsi="Calibri"/>
      <w:sz w:val="22"/>
    </w:rPr>
  </w:style>
  <w:style w:styleId="Style_10_ch" w:type="character">
    <w:name w:val="toc 2"/>
    <w:basedOn w:val="Style_33_ch"/>
    <w:link w:val="Style_10"/>
    <w:rPr>
      <w:rFonts w:ascii="Calibri" w:hAnsi="Calibri"/>
      <w:sz w:val="22"/>
    </w:rPr>
  </w:style>
  <w:style w:styleId="Style_40" w:type="paragraph">
    <w:name w:val="toc 4"/>
    <w:next w:val="Style_33"/>
    <w:link w:val="Style_40_ch"/>
    <w:uiPriority w:val="39"/>
    <w:pPr>
      <w:ind w:firstLine="0" w:left="600"/>
      <w:jc w:val="left"/>
    </w:pPr>
    <w:rPr>
      <w:rFonts w:ascii="XO Thames" w:hAnsi="XO Thames"/>
      <w:sz w:val="28"/>
    </w:rPr>
  </w:style>
  <w:style w:styleId="Style_40_ch" w:type="character">
    <w:name w:val="toc 4"/>
    <w:link w:val="Style_40"/>
    <w:rPr>
      <w:rFonts w:ascii="XO Thames" w:hAnsi="XO Thames"/>
      <w:sz w:val="28"/>
    </w:rPr>
  </w:style>
  <w:style w:styleId="Style_41" w:type="paragraph">
    <w:name w:val="caption"/>
    <w:basedOn w:val="Style_33"/>
    <w:link w:val="Style_41_ch"/>
    <w:pPr>
      <w:widowControl w:val="1"/>
      <w:spacing w:after="120" w:before="120"/>
      <w:ind/>
    </w:pPr>
    <w:rPr>
      <w:i w:val="1"/>
    </w:rPr>
  </w:style>
  <w:style w:styleId="Style_41_ch" w:type="character">
    <w:name w:val="caption"/>
    <w:basedOn w:val="Style_33_ch"/>
    <w:link w:val="Style_41"/>
    <w:rPr>
      <w:i w:val="1"/>
    </w:rPr>
  </w:style>
  <w:style w:styleId="Style_42" w:type="paragraph">
    <w:name w:val="toc 6"/>
    <w:next w:val="Style_33"/>
    <w:link w:val="Style_42_ch"/>
    <w:uiPriority w:val="39"/>
    <w:pPr>
      <w:ind w:firstLine="0" w:left="1000"/>
      <w:jc w:val="left"/>
    </w:pPr>
    <w:rPr>
      <w:rFonts w:ascii="XO Thames" w:hAnsi="XO Thames"/>
      <w:sz w:val="28"/>
    </w:rPr>
  </w:style>
  <w:style w:styleId="Style_42_ch" w:type="character">
    <w:name w:val="toc 6"/>
    <w:link w:val="Style_42"/>
    <w:rPr>
      <w:rFonts w:ascii="XO Thames" w:hAnsi="XO Thames"/>
      <w:sz w:val="28"/>
    </w:rPr>
  </w:style>
  <w:style w:styleId="Style_43" w:type="paragraph">
    <w:name w:val="ListLabel 22"/>
    <w:link w:val="Style_43_ch"/>
  </w:style>
  <w:style w:styleId="Style_43_ch" w:type="character">
    <w:name w:val="ListLabel 22"/>
    <w:link w:val="Style_43"/>
  </w:style>
  <w:style w:styleId="Style_44" w:type="paragraph">
    <w:name w:val="refauthors"/>
    <w:link w:val="Style_44_ch"/>
  </w:style>
  <w:style w:styleId="Style_44_ch" w:type="character">
    <w:name w:val="refauthors"/>
    <w:link w:val="Style_44"/>
  </w:style>
  <w:style w:styleId="Style_45" w:type="paragraph">
    <w:name w:val="toc 7"/>
    <w:next w:val="Style_33"/>
    <w:link w:val="Style_45_ch"/>
    <w:uiPriority w:val="39"/>
    <w:pPr>
      <w:ind w:firstLine="0" w:left="1200"/>
      <w:jc w:val="left"/>
    </w:pPr>
    <w:rPr>
      <w:rFonts w:ascii="XO Thames" w:hAnsi="XO Thames"/>
      <w:sz w:val="28"/>
    </w:rPr>
  </w:style>
  <w:style w:styleId="Style_45_ch" w:type="character">
    <w:name w:val="toc 7"/>
    <w:link w:val="Style_45"/>
    <w:rPr>
      <w:rFonts w:ascii="XO Thames" w:hAnsi="XO Thames"/>
      <w:sz w:val="28"/>
    </w:rPr>
  </w:style>
  <w:style w:styleId="Style_46" w:type="paragraph">
    <w:name w:val="Нижний колонтитул Знак"/>
    <w:basedOn w:val="Style_37"/>
    <w:link w:val="Style_46_ch"/>
  </w:style>
  <w:style w:styleId="Style_46_ch" w:type="character">
    <w:name w:val="Нижний колонтитул Знак"/>
    <w:basedOn w:val="Style_37_ch"/>
    <w:link w:val="Style_46"/>
  </w:style>
  <w:style w:styleId="Style_13" w:type="paragraph">
    <w:name w:val="ListLabel 30"/>
    <w:link w:val="Style_13_ch"/>
  </w:style>
  <w:style w:styleId="Style_13_ch" w:type="character">
    <w:name w:val="ListLabel 30"/>
    <w:link w:val="Style_13"/>
  </w:style>
  <w:style w:styleId="Style_47" w:type="paragraph">
    <w:name w:val="cna"/>
    <w:basedOn w:val="Style_33"/>
    <w:link w:val="Style_47_ch"/>
    <w:pPr>
      <w:widowControl w:val="1"/>
      <w:spacing w:afterAutospacing="on" w:beforeAutospacing="on" w:line="240" w:lineRule="auto"/>
      <w:ind w:firstLine="0"/>
      <w:jc w:val="left"/>
    </w:pPr>
  </w:style>
  <w:style w:styleId="Style_47_ch" w:type="character">
    <w:name w:val="cna"/>
    <w:basedOn w:val="Style_33_ch"/>
    <w:link w:val="Style_47"/>
  </w:style>
  <w:style w:styleId="Style_48" w:type="paragraph">
    <w:name w:val="ListLabel 20"/>
    <w:link w:val="Style_48_ch"/>
  </w:style>
  <w:style w:styleId="Style_48_ch" w:type="character">
    <w:name w:val="ListLabel 20"/>
    <w:link w:val="Style_48"/>
  </w:style>
  <w:style w:styleId="Style_6" w:type="paragraph">
    <w:name w:val="List Paragraph"/>
    <w:basedOn w:val="Style_33"/>
    <w:link w:val="Style_6_ch"/>
    <w:pPr>
      <w:widowControl w:val="1"/>
      <w:ind w:left="720"/>
      <w:contextualSpacing w:val="1"/>
    </w:pPr>
  </w:style>
  <w:style w:styleId="Style_6_ch" w:type="character">
    <w:name w:val="List Paragraph"/>
    <w:basedOn w:val="Style_33_ch"/>
    <w:link w:val="Style_6"/>
  </w:style>
  <w:style w:styleId="Style_49" w:type="paragraph">
    <w:name w:val="Текст сноски Знак"/>
    <w:basedOn w:val="Style_37"/>
    <w:link w:val="Style_49_ch"/>
    <w:rPr>
      <w:rFonts w:ascii="Calibri" w:hAnsi="Calibri"/>
      <w:sz w:val="20"/>
    </w:rPr>
  </w:style>
  <w:style w:styleId="Style_49_ch" w:type="character">
    <w:name w:val="Текст сноски Знак"/>
    <w:basedOn w:val="Style_37_ch"/>
    <w:link w:val="Style_49"/>
    <w:rPr>
      <w:rFonts w:ascii="Calibri" w:hAnsi="Calibri"/>
      <w:sz w:val="20"/>
    </w:rPr>
  </w:style>
  <w:style w:styleId="Style_50" w:type="paragraph">
    <w:name w:val="highlight"/>
    <w:basedOn w:val="Style_37"/>
    <w:link w:val="Style_50_ch"/>
  </w:style>
  <w:style w:styleId="Style_50_ch" w:type="character">
    <w:name w:val="highlight"/>
    <w:basedOn w:val="Style_37_ch"/>
    <w:link w:val="Style_50"/>
  </w:style>
  <w:style w:styleId="Style_51" w:type="paragraph">
    <w:name w:val="ListLabel 12"/>
    <w:link w:val="Style_51_ch"/>
  </w:style>
  <w:style w:styleId="Style_51_ch" w:type="character">
    <w:name w:val="ListLabel 12"/>
    <w:link w:val="Style_51"/>
  </w:style>
  <w:style w:styleId="Style_52" w:type="paragraph">
    <w:name w:val="List"/>
    <w:basedOn w:val="Style_53"/>
    <w:link w:val="Style_52_ch"/>
  </w:style>
  <w:style w:styleId="Style_52_ch" w:type="character">
    <w:name w:val="List"/>
    <w:basedOn w:val="Style_53_ch"/>
    <w:link w:val="Style_52"/>
  </w:style>
  <w:style w:styleId="Style_54" w:type="paragraph">
    <w:name w:val="Обычный (веб)1"/>
    <w:basedOn w:val="Style_33"/>
    <w:link w:val="Style_54_ch"/>
    <w:pPr>
      <w:widowControl w:val="1"/>
      <w:spacing w:afterAutospacing="on" w:beforeAutospacing="on" w:line="240" w:lineRule="auto"/>
      <w:ind w:firstLine="0"/>
      <w:jc w:val="left"/>
    </w:pPr>
  </w:style>
  <w:style w:styleId="Style_54_ch" w:type="character">
    <w:name w:val="Обычный (веб)1"/>
    <w:basedOn w:val="Style_33_ch"/>
    <w:link w:val="Style_54"/>
  </w:style>
  <w:style w:styleId="Style_55" w:type="paragraph">
    <w:name w:val="Endnote"/>
    <w:link w:val="Style_55_ch"/>
    <w:pPr>
      <w:ind w:firstLine="851" w:left="0"/>
      <w:jc w:val="both"/>
    </w:pPr>
    <w:rPr>
      <w:rFonts w:ascii="XO Thames" w:hAnsi="XO Thames"/>
      <w:sz w:val="22"/>
    </w:rPr>
  </w:style>
  <w:style w:styleId="Style_55_ch" w:type="character">
    <w:name w:val="Endnote"/>
    <w:link w:val="Style_55"/>
    <w:rPr>
      <w:rFonts w:ascii="XO Thames" w:hAnsi="XO Thames"/>
      <w:sz w:val="22"/>
    </w:rPr>
  </w:style>
  <w:style w:styleId="Style_56" w:type="paragraph">
    <w:name w:val="heading 3"/>
    <w:basedOn w:val="Style_33"/>
    <w:next w:val="Style_33"/>
    <w:link w:val="Style_56_ch"/>
    <w:uiPriority w:val="9"/>
    <w:qFormat/>
    <w:pPr>
      <w:keepNext w:val="1"/>
      <w:keepLines w:val="1"/>
      <w:widowControl w:val="1"/>
      <w:spacing w:before="40"/>
      <w:ind/>
      <w:outlineLvl w:val="2"/>
    </w:pPr>
    <w:rPr>
      <w:rFonts w:asciiTheme="majorAscii" w:hAnsiTheme="majorHAnsi"/>
      <w:color w:themeColor="accent1" w:themeShade="7F" w:val="1F4E79"/>
    </w:rPr>
  </w:style>
  <w:style w:styleId="Style_56_ch" w:type="character">
    <w:name w:val="heading 3"/>
    <w:basedOn w:val="Style_33_ch"/>
    <w:link w:val="Style_56"/>
    <w:rPr>
      <w:rFonts w:asciiTheme="majorAscii" w:hAnsiTheme="majorHAnsi"/>
      <w:color w:themeColor="accent1" w:themeShade="7F" w:val="1F4E79"/>
    </w:rPr>
  </w:style>
  <w:style w:styleId="Style_57" w:type="paragraph">
    <w:name w:val="Текст выноски Знак"/>
    <w:basedOn w:val="Style_37"/>
    <w:link w:val="Style_57_ch"/>
    <w:rPr>
      <w:rFonts w:ascii="Tahoma" w:hAnsi="Tahoma"/>
      <w:sz w:val="16"/>
    </w:rPr>
  </w:style>
  <w:style w:styleId="Style_57_ch" w:type="character">
    <w:name w:val="Текст выноски Знак"/>
    <w:basedOn w:val="Style_37_ch"/>
    <w:link w:val="Style_57"/>
    <w:rPr>
      <w:rFonts w:ascii="Tahoma" w:hAnsi="Tahoma"/>
      <w:sz w:val="16"/>
    </w:rPr>
  </w:style>
  <w:style w:styleId="Style_58" w:type="paragraph">
    <w:name w:val="Неразрешенное упоминание1"/>
    <w:basedOn w:val="Style_37"/>
    <w:link w:val="Style_58_ch"/>
    <w:rPr>
      <w:color w:val="605E5C"/>
      <w:shd w:fill="E1DFDD" w:val="clear"/>
    </w:rPr>
  </w:style>
  <w:style w:styleId="Style_58_ch" w:type="character">
    <w:name w:val="Неразрешенное упоминание1"/>
    <w:basedOn w:val="Style_37_ch"/>
    <w:link w:val="Style_58"/>
    <w:rPr>
      <w:color w:val="605E5C"/>
      <w:shd w:fill="E1DFDD" w:val="clear"/>
    </w:rPr>
  </w:style>
  <w:style w:styleId="Style_59" w:type="paragraph">
    <w:name w:val="apple-converted-space"/>
    <w:basedOn w:val="Style_37"/>
    <w:link w:val="Style_59_ch"/>
  </w:style>
  <w:style w:styleId="Style_59_ch" w:type="character">
    <w:name w:val="apple-converted-space"/>
    <w:basedOn w:val="Style_37_ch"/>
    <w:link w:val="Style_59"/>
  </w:style>
  <w:style w:styleId="Style_60" w:type="paragraph">
    <w:name w:val="ListLabel 29"/>
    <w:link w:val="Style_60_ch"/>
  </w:style>
  <w:style w:styleId="Style_60_ch" w:type="character">
    <w:name w:val="ListLabel 29"/>
    <w:link w:val="Style_60"/>
  </w:style>
  <w:style w:styleId="Style_61" w:type="paragraph">
    <w:name w:val="Абзац списка Знак"/>
    <w:basedOn w:val="Style_37"/>
    <w:link w:val="Style_61_ch"/>
  </w:style>
  <w:style w:styleId="Style_61_ch" w:type="character">
    <w:name w:val="Абзац списка Знак"/>
    <w:basedOn w:val="Style_37_ch"/>
    <w:link w:val="Style_61"/>
  </w:style>
  <w:style w:styleId="Style_62" w:type="paragraph">
    <w:name w:val="Balloon Text"/>
    <w:basedOn w:val="Style_33"/>
    <w:link w:val="Style_62_ch"/>
    <w:pPr>
      <w:widowControl w:val="1"/>
      <w:spacing w:line="240" w:lineRule="auto"/>
      <w:ind/>
    </w:pPr>
    <w:rPr>
      <w:rFonts w:ascii="Tahoma" w:hAnsi="Tahoma"/>
      <w:sz w:val="16"/>
    </w:rPr>
  </w:style>
  <w:style w:styleId="Style_62_ch" w:type="character">
    <w:name w:val="Balloon Text"/>
    <w:basedOn w:val="Style_33_ch"/>
    <w:link w:val="Style_62"/>
    <w:rPr>
      <w:rFonts w:ascii="Tahoma" w:hAnsi="Tahoma"/>
      <w:sz w:val="16"/>
    </w:rPr>
  </w:style>
  <w:style w:styleId="Style_63" w:type="paragraph">
    <w:name w:val="Интернет-ссылка"/>
    <w:basedOn w:val="Style_37"/>
    <w:link w:val="Style_63_ch"/>
    <w:rPr>
      <w:color w:val="0000FF"/>
      <w:u w:val="single"/>
    </w:rPr>
  </w:style>
  <w:style w:styleId="Style_63_ch" w:type="character">
    <w:name w:val="Интернет-ссылка"/>
    <w:basedOn w:val="Style_37_ch"/>
    <w:link w:val="Style_63"/>
    <w:rPr>
      <w:color w:val="0000FF"/>
      <w:u w:val="single"/>
    </w:rPr>
  </w:style>
  <w:style w:styleId="Style_1" w:type="paragraph">
    <w:name w:val="footer"/>
    <w:basedOn w:val="Style_33"/>
    <w:link w:val="Style_1_ch"/>
    <w:pPr>
      <w:widowControl w:val="1"/>
      <w:tabs>
        <w:tab w:leader="none" w:pos="4677" w:val="center"/>
        <w:tab w:leader="none" w:pos="9355" w:val="right"/>
      </w:tabs>
      <w:spacing w:line="240" w:lineRule="auto"/>
      <w:ind/>
    </w:pPr>
  </w:style>
  <w:style w:styleId="Style_1_ch" w:type="character">
    <w:name w:val="footer"/>
    <w:basedOn w:val="Style_33_ch"/>
    <w:link w:val="Style_1"/>
  </w:style>
  <w:style w:styleId="Style_64" w:type="paragraph">
    <w:name w:val="ListLabel 1"/>
    <w:link w:val="Style_64_ch"/>
  </w:style>
  <w:style w:styleId="Style_64_ch" w:type="character">
    <w:name w:val="ListLabel 1"/>
    <w:link w:val="Style_64"/>
  </w:style>
  <w:style w:styleId="Style_28" w:type="paragraph">
    <w:name w:val="Вводный текст 2-6 разделы"/>
    <w:basedOn w:val="Style_33"/>
    <w:link w:val="Style_28_ch"/>
    <w:rPr>
      <w:i w:val="1"/>
    </w:rPr>
  </w:style>
  <w:style w:styleId="Style_28_ch" w:type="character">
    <w:name w:val="Вводный текст 2-6 разделы"/>
    <w:basedOn w:val="Style_33_ch"/>
    <w:link w:val="Style_28"/>
    <w:rPr>
      <w:i w:val="1"/>
    </w:rPr>
  </w:style>
  <w:style w:styleId="Style_65" w:type="paragraph">
    <w:name w:val="ListLabel 31"/>
    <w:link w:val="Style_65_ch"/>
  </w:style>
  <w:style w:styleId="Style_65_ch" w:type="character">
    <w:name w:val="ListLabel 31"/>
    <w:link w:val="Style_65"/>
  </w:style>
  <w:style w:styleId="Style_66" w:type="paragraph">
    <w:name w:val="FollowedHyperlink"/>
    <w:basedOn w:val="Style_37"/>
    <w:link w:val="Style_66_ch"/>
    <w:rPr>
      <w:color w:themeColor="followedHyperlink" w:val="954F72"/>
      <w:u w:val="single"/>
    </w:rPr>
  </w:style>
  <w:style w:styleId="Style_66_ch" w:type="character">
    <w:name w:val="FollowedHyperlink"/>
    <w:basedOn w:val="Style_37_ch"/>
    <w:link w:val="Style_66"/>
    <w:rPr>
      <w:color w:themeColor="followedHyperlink" w:val="954F72"/>
      <w:u w:val="single"/>
    </w:rPr>
  </w:style>
  <w:style w:styleId="Style_4" w:type="paragraph">
    <w:name w:val="annotation text"/>
    <w:basedOn w:val="Style_33"/>
    <w:link w:val="Style_4_ch"/>
    <w:pPr>
      <w:widowControl w:val="1"/>
      <w:spacing w:line="240" w:lineRule="auto"/>
      <w:ind/>
    </w:pPr>
    <w:rPr>
      <w:sz w:val="20"/>
    </w:rPr>
  </w:style>
  <w:style w:styleId="Style_4_ch" w:type="character">
    <w:name w:val="annotation text"/>
    <w:basedOn w:val="Style_33_ch"/>
    <w:link w:val="Style_4"/>
    <w:rPr>
      <w:sz w:val="20"/>
    </w:rPr>
  </w:style>
  <w:style w:styleId="Style_67" w:type="paragraph">
    <w:name w:val="index heading"/>
    <w:basedOn w:val="Style_33"/>
    <w:link w:val="Style_67_ch"/>
  </w:style>
  <w:style w:styleId="Style_67_ch" w:type="character">
    <w:name w:val="index heading"/>
    <w:basedOn w:val="Style_33_ch"/>
    <w:link w:val="Style_67"/>
  </w:style>
  <w:style w:styleId="Style_11" w:type="paragraph">
    <w:link w:val="Style_11_ch"/>
    <w:semiHidden w:val="1"/>
    <w:unhideWhenUsed w:val="1"/>
    <w:pPr>
      <w:keepNext w:val="1"/>
      <w:keepLines w:val="1"/>
      <w:widowControl w:val="1"/>
      <w:spacing w:line="276" w:lineRule="auto"/>
      <w:ind/>
      <w:contextualSpacing w:val="1"/>
      <w:outlineLvl w:val="0"/>
    </w:pPr>
    <w:rPr>
      <w:rFonts w:ascii="Times New Roman" w:hAnsi="Times New Roman"/>
      <w:sz w:val="24"/>
    </w:rPr>
  </w:style>
  <w:style w:styleId="Style_11_ch" w:type="character">
    <w:link w:val="Style_11"/>
    <w:semiHidden w:val="1"/>
    <w:unhideWhenUsed w:val="1"/>
    <w:rPr>
      <w:rFonts w:ascii="Times New Roman" w:hAnsi="Times New Roman"/>
      <w:sz w:val="24"/>
    </w:rPr>
  </w:style>
  <w:style w:styleId="Style_68" w:type="paragraph">
    <w:name w:val="Без интервала1"/>
    <w:link w:val="Style_68_ch"/>
    <w:rPr>
      <w:rFonts w:ascii="Calibri" w:hAnsi="Calibri"/>
      <w:sz w:val="22"/>
    </w:rPr>
  </w:style>
  <w:style w:styleId="Style_68_ch" w:type="character">
    <w:name w:val="Без интервала1"/>
    <w:link w:val="Style_68"/>
    <w:rPr>
      <w:rFonts w:ascii="Calibri" w:hAnsi="Calibri"/>
      <w:sz w:val="22"/>
    </w:rPr>
  </w:style>
  <w:style w:styleId="Style_69" w:type="paragraph">
    <w:name w:val="УДД1"/>
    <w:basedOn w:val="Style_33"/>
    <w:link w:val="Style_69_ch"/>
    <w:pPr>
      <w:widowControl w:val="1"/>
      <w:ind w:firstLine="0" w:left="709"/>
      <w:contextualSpacing w:val="1"/>
    </w:pPr>
    <w:rPr>
      <w:b w:val="1"/>
    </w:rPr>
  </w:style>
  <w:style w:styleId="Style_69_ch" w:type="character">
    <w:name w:val="УДД1"/>
    <w:basedOn w:val="Style_33_ch"/>
    <w:link w:val="Style_69"/>
    <w:rPr>
      <w:b w:val="1"/>
    </w:rPr>
  </w:style>
  <w:style w:styleId="Style_70" w:type="paragraph">
    <w:name w:val="УДД;УУР"/>
    <w:basedOn w:val="Style_31"/>
    <w:link w:val="Style_70_ch"/>
    <w:pPr>
      <w:widowControl w:val="1"/>
      <w:spacing w:before="0"/>
      <w:ind w:firstLine="0" w:left="709"/>
    </w:pPr>
    <w:rPr>
      <w:b w:val="1"/>
    </w:rPr>
  </w:style>
  <w:style w:styleId="Style_70_ch" w:type="character">
    <w:name w:val="УДД;УУР"/>
    <w:basedOn w:val="Style_31_ch"/>
    <w:link w:val="Style_70"/>
    <w:rPr>
      <w:b w:val="1"/>
    </w:rPr>
  </w:style>
  <w:style w:styleId="Style_71" w:type="paragraph">
    <w:name w:val="no_indent"/>
    <w:link w:val="Style_71_ch"/>
    <w:pPr>
      <w:widowControl w:val="1"/>
      <w:spacing w:line="480" w:lineRule="auto"/>
      <w:ind/>
      <w:jc w:val="both"/>
    </w:pPr>
    <w:rPr>
      <w:rFonts w:ascii="Times New Roman" w:hAnsi="Times New Roman"/>
      <w:color w:val="000000"/>
      <w:sz w:val="24"/>
      <w:u w:color="000000"/>
    </w:rPr>
  </w:style>
  <w:style w:styleId="Style_71_ch" w:type="character">
    <w:name w:val="no_indent"/>
    <w:link w:val="Style_71"/>
    <w:rPr>
      <w:rFonts w:ascii="Times New Roman" w:hAnsi="Times New Roman"/>
      <w:color w:val="000000"/>
      <w:sz w:val="24"/>
      <w:u w:color="000000"/>
    </w:rPr>
  </w:style>
  <w:style w:styleId="Style_72" w:type="paragraph">
    <w:name w:val="ListLabel 15"/>
    <w:link w:val="Style_72_ch"/>
  </w:style>
  <w:style w:styleId="Style_72_ch" w:type="character">
    <w:name w:val="ListLabel 15"/>
    <w:link w:val="Style_72"/>
  </w:style>
  <w:style w:styleId="Style_73" w:type="paragraph">
    <w:name w:val="ListLabel 18"/>
    <w:link w:val="Style_73_ch"/>
  </w:style>
  <w:style w:styleId="Style_73_ch" w:type="character">
    <w:name w:val="ListLabel 18"/>
    <w:link w:val="Style_73"/>
  </w:style>
  <w:style w:styleId="Style_25" w:type="paragraph">
    <w:name w:val="Strong"/>
    <w:basedOn w:val="Style_37"/>
    <w:link w:val="Style_25_ch"/>
    <w:rPr>
      <w:b w:val="1"/>
    </w:rPr>
  </w:style>
  <w:style w:styleId="Style_25_ch" w:type="character">
    <w:name w:val="Strong"/>
    <w:basedOn w:val="Style_37_ch"/>
    <w:link w:val="Style_25"/>
    <w:rPr>
      <w:b w:val="1"/>
    </w:rPr>
  </w:style>
  <w:style w:styleId="Style_37" w:type="paragraph">
    <w:name w:val="Default Paragraph Font"/>
    <w:link w:val="Style_37_ch"/>
  </w:style>
  <w:style w:styleId="Style_37_ch" w:type="character">
    <w:name w:val="Default Paragraph Font"/>
    <w:link w:val="Style_37"/>
  </w:style>
  <w:style w:styleId="Style_17" w:type="paragraph">
    <w:name w:val="Текст в 1 разделе"/>
    <w:basedOn w:val="Style_33"/>
    <w:link w:val="Style_17_ch"/>
  </w:style>
  <w:style w:styleId="Style_17_ch" w:type="character">
    <w:name w:val="Текст в 1 разделе"/>
    <w:basedOn w:val="Style_33_ch"/>
    <w:link w:val="Style_17"/>
  </w:style>
  <w:style w:styleId="Style_74" w:type="paragraph">
    <w:name w:val="toc 3"/>
    <w:basedOn w:val="Style_33"/>
    <w:next w:val="Style_33"/>
    <w:link w:val="Style_74_ch"/>
    <w:uiPriority w:val="39"/>
    <w:pPr>
      <w:widowControl w:val="1"/>
      <w:spacing w:after="100"/>
      <w:ind w:left="480"/>
    </w:pPr>
  </w:style>
  <w:style w:styleId="Style_74_ch" w:type="character">
    <w:name w:val="toc 3"/>
    <w:basedOn w:val="Style_33_ch"/>
    <w:link w:val="Style_74"/>
  </w:style>
  <w:style w:styleId="Style_75" w:type="paragraph">
    <w:name w:val="ListLabel 7"/>
    <w:link w:val="Style_75_ch"/>
  </w:style>
  <w:style w:styleId="Style_75_ch" w:type="character">
    <w:name w:val="ListLabel 7"/>
    <w:link w:val="Style_75"/>
  </w:style>
  <w:style w:styleId="Style_76" w:type="paragraph">
    <w:name w:val="Normal1 Знак"/>
    <w:basedOn w:val="Style_37"/>
    <w:link w:val="Style_76_ch"/>
    <w:rPr>
      <w:rFonts w:ascii="Times New Roman" w:hAnsi="Times New Roman"/>
      <w:sz w:val="20"/>
    </w:rPr>
  </w:style>
  <w:style w:styleId="Style_76_ch" w:type="character">
    <w:name w:val="Normal1 Знак"/>
    <w:basedOn w:val="Style_37_ch"/>
    <w:link w:val="Style_76"/>
    <w:rPr>
      <w:rFonts w:ascii="Times New Roman" w:hAnsi="Times New Roman"/>
      <w:sz w:val="20"/>
    </w:rPr>
  </w:style>
  <w:style w:styleId="Style_77" w:type="paragraph">
    <w:name w:val="ListLabel 19"/>
    <w:link w:val="Style_77_ch"/>
  </w:style>
  <w:style w:styleId="Style_77_ch" w:type="character">
    <w:name w:val="ListLabel 19"/>
    <w:link w:val="Style_77"/>
  </w:style>
  <w:style w:styleId="Style_21" w:type="paragraph">
    <w:name w:val="Рекомендация"/>
    <w:basedOn w:val="Style_24"/>
    <w:link w:val="Style_21_ch"/>
  </w:style>
  <w:style w:styleId="Style_21_ch" w:type="character">
    <w:name w:val="Рекомендация"/>
    <w:basedOn w:val="Style_24_ch"/>
    <w:link w:val="Style_21"/>
  </w:style>
  <w:style w:styleId="Style_7" w:type="paragraph">
    <w:name w:val="Normal (Web)"/>
    <w:basedOn w:val="Style_33"/>
    <w:link w:val="Style_7_ch"/>
    <w:pPr>
      <w:widowControl w:val="1"/>
      <w:spacing w:afterAutospacing="on" w:beforeAutospacing="on" w:line="288" w:lineRule="auto"/>
      <w:ind/>
    </w:pPr>
  </w:style>
  <w:style w:styleId="Style_7_ch" w:type="character">
    <w:name w:val="Normal (Web)"/>
    <w:basedOn w:val="Style_33_ch"/>
    <w:link w:val="Style_7"/>
  </w:style>
  <w:style w:styleId="Style_78" w:type="paragraph">
    <w:name w:val="ListLabel 4"/>
    <w:link w:val="Style_78_ch"/>
  </w:style>
  <w:style w:styleId="Style_78_ch" w:type="character">
    <w:name w:val="ListLabel 4"/>
    <w:link w:val="Style_78"/>
  </w:style>
  <w:style w:styleId="Style_53" w:type="paragraph">
    <w:name w:val="Body Text"/>
    <w:basedOn w:val="Style_33"/>
    <w:link w:val="Style_53_ch"/>
    <w:pPr>
      <w:widowControl w:val="1"/>
      <w:spacing w:after="140" w:line="288" w:lineRule="auto"/>
      <w:ind/>
    </w:pPr>
  </w:style>
  <w:style w:styleId="Style_53_ch" w:type="character">
    <w:name w:val="Body Text"/>
    <w:basedOn w:val="Style_33_ch"/>
    <w:link w:val="Style_53"/>
  </w:style>
  <w:style w:styleId="Style_30" w:type="paragraph">
    <w:basedOn w:val="Style_33"/>
    <w:next w:val="Style_7"/>
    <w:link w:val="Style_30_ch"/>
    <w:semiHidden w:val="1"/>
    <w:unhideWhenUsed w:val="1"/>
    <w:pPr>
      <w:widowControl w:val="1"/>
      <w:spacing w:afterAutospacing="on" w:beforeAutospacing="on" w:line="240" w:lineRule="auto"/>
      <w:ind w:firstLine="0"/>
      <w:jc w:val="left"/>
    </w:pPr>
  </w:style>
  <w:style w:styleId="Style_30_ch" w:type="character">
    <w:basedOn w:val="Style_33_ch"/>
    <w:link w:val="Style_30"/>
    <w:semiHidden w:val="1"/>
    <w:unhideWhenUsed w:val="1"/>
  </w:style>
  <w:style w:styleId="Style_12" w:type="paragraph">
    <w:name w:val="Список ключевых слов"/>
    <w:basedOn w:val="Style_6"/>
    <w:link w:val="Style_12_ch"/>
    <w:pPr>
      <w:widowControl w:val="1"/>
      <w:numPr>
        <w:numId w:val="17"/>
      </w:numPr>
      <w:ind w:firstLine="709" w:left="0"/>
    </w:pPr>
  </w:style>
  <w:style w:styleId="Style_12_ch" w:type="character">
    <w:name w:val="Список ключевых слов"/>
    <w:basedOn w:val="Style_6_ch"/>
    <w:link w:val="Style_12"/>
  </w:style>
  <w:style w:styleId="Style_79" w:type="paragraph">
    <w:name w:val="Обычный1"/>
    <w:link w:val="Style_79_ch"/>
    <w:pPr>
      <w:widowControl w:val="1"/>
      <w:spacing w:line="276" w:lineRule="auto"/>
      <w:ind/>
    </w:pPr>
    <w:rPr>
      <w:rFonts w:ascii="Arial" w:hAnsi="Arial"/>
      <w:sz w:val="22"/>
    </w:rPr>
  </w:style>
  <w:style w:styleId="Style_79_ch" w:type="character">
    <w:name w:val="Обычный1"/>
    <w:link w:val="Style_79"/>
    <w:rPr>
      <w:rFonts w:ascii="Arial" w:hAnsi="Arial"/>
      <w:sz w:val="22"/>
    </w:rPr>
  </w:style>
  <w:style w:styleId="Style_80" w:type="paragraph">
    <w:name w:val="Текст примечания Знак"/>
    <w:basedOn w:val="Style_37"/>
    <w:link w:val="Style_80_ch"/>
    <w:rPr>
      <w:rFonts w:ascii="Times New Roman" w:hAnsi="Times New Roman"/>
      <w:sz w:val="20"/>
    </w:rPr>
  </w:style>
  <w:style w:styleId="Style_80_ch" w:type="character">
    <w:name w:val="Текст примечания Знак"/>
    <w:basedOn w:val="Style_37_ch"/>
    <w:link w:val="Style_80"/>
    <w:rPr>
      <w:rFonts w:ascii="Times New Roman" w:hAnsi="Times New Roman"/>
      <w:sz w:val="20"/>
    </w:rPr>
  </w:style>
  <w:style w:styleId="Style_81" w:type="paragraph">
    <w:name w:val="color"/>
    <w:basedOn w:val="Style_37"/>
    <w:link w:val="Style_81_ch"/>
  </w:style>
  <w:style w:styleId="Style_81_ch" w:type="character">
    <w:name w:val="color"/>
    <w:basedOn w:val="Style_37_ch"/>
    <w:link w:val="Style_81"/>
  </w:style>
  <w:style w:styleId="Style_82" w:type="paragraph">
    <w:name w:val="ListLabel 39"/>
    <w:link w:val="Style_82_ch"/>
  </w:style>
  <w:style w:styleId="Style_82_ch" w:type="character">
    <w:name w:val="ListLabel 39"/>
    <w:link w:val="Style_82"/>
  </w:style>
  <w:style w:styleId="Style_22" w:type="paragraph">
    <w:name w:val="Ком"/>
    <w:basedOn w:val="Style_70"/>
    <w:link w:val="Style_22_ch"/>
    <w:rPr>
      <w:b w:val="0"/>
      <w:i w:val="1"/>
    </w:rPr>
  </w:style>
  <w:style w:styleId="Style_22_ch" w:type="character">
    <w:name w:val="Ком"/>
    <w:basedOn w:val="Style_70_ch"/>
    <w:link w:val="Style_22"/>
    <w:rPr>
      <w:b w:val="0"/>
      <w:i w:val="1"/>
    </w:rPr>
  </w:style>
  <w:style w:styleId="Style_5" w:type="paragraph">
    <w:name w:val="pop-slug-vol"/>
    <w:link w:val="Style_5_ch"/>
  </w:style>
  <w:style w:styleId="Style_5_ch" w:type="character">
    <w:name w:val="pop-slug-vol"/>
    <w:link w:val="Style_5"/>
  </w:style>
  <w:style w:styleId="Style_83" w:type="paragraph">
    <w:name w:val="heading 5"/>
    <w:next w:val="Style_33"/>
    <w:link w:val="Style_83_ch"/>
    <w:uiPriority w:val="9"/>
    <w:qFormat/>
    <w:pPr>
      <w:spacing w:after="120" w:before="120"/>
      <w:ind/>
      <w:jc w:val="both"/>
      <w:outlineLvl w:val="4"/>
    </w:pPr>
    <w:rPr>
      <w:rFonts w:ascii="XO Thames" w:hAnsi="XO Thames"/>
      <w:b w:val="1"/>
      <w:sz w:val="22"/>
    </w:rPr>
  </w:style>
  <w:style w:styleId="Style_83_ch" w:type="character">
    <w:name w:val="heading 5"/>
    <w:link w:val="Style_83"/>
    <w:rPr>
      <w:rFonts w:ascii="XO Thames" w:hAnsi="XO Thames"/>
      <w:b w:val="1"/>
      <w:sz w:val="22"/>
    </w:rPr>
  </w:style>
  <w:style w:styleId="Style_84" w:type="paragraph">
    <w:name w:val="annotation reference"/>
    <w:basedOn w:val="Style_37"/>
    <w:link w:val="Style_84_ch"/>
    <w:rPr>
      <w:sz w:val="16"/>
    </w:rPr>
  </w:style>
  <w:style w:styleId="Style_84_ch" w:type="character">
    <w:name w:val="annotation reference"/>
    <w:basedOn w:val="Style_37_ch"/>
    <w:link w:val="Style_84"/>
    <w:rPr>
      <w:sz w:val="16"/>
    </w:rPr>
  </w:style>
  <w:style w:styleId="Style_85" w:type="paragraph">
    <w:name w:val="element-citation"/>
    <w:basedOn w:val="Style_37"/>
    <w:link w:val="Style_85_ch"/>
  </w:style>
  <w:style w:styleId="Style_85_ch" w:type="character">
    <w:name w:val="element-citation"/>
    <w:basedOn w:val="Style_37_ch"/>
    <w:link w:val="Style_85"/>
  </w:style>
  <w:style w:styleId="Style_86" w:type="paragraph">
    <w:name w:val="ListLabel 38"/>
    <w:link w:val="Style_86_ch"/>
  </w:style>
  <w:style w:styleId="Style_86_ch" w:type="character">
    <w:name w:val="ListLabel 38"/>
    <w:link w:val="Style_86"/>
  </w:style>
  <w:style w:styleId="Style_87" w:type="paragraph">
    <w:name w:val="desc"/>
    <w:basedOn w:val="Style_33"/>
    <w:link w:val="Style_87_ch"/>
    <w:pPr>
      <w:widowControl w:val="1"/>
      <w:spacing w:afterAutospacing="on" w:beforeAutospacing="on" w:line="240" w:lineRule="auto"/>
      <w:ind/>
    </w:pPr>
  </w:style>
  <w:style w:styleId="Style_87_ch" w:type="character">
    <w:name w:val="desc"/>
    <w:basedOn w:val="Style_33_ch"/>
    <w:link w:val="Style_87"/>
  </w:style>
  <w:style w:styleId="Style_88" w:type="paragraph">
    <w:name w:val="ListLabel 35"/>
    <w:link w:val="Style_88_ch"/>
  </w:style>
  <w:style w:styleId="Style_88_ch" w:type="character">
    <w:name w:val="ListLabel 35"/>
    <w:link w:val="Style_88"/>
  </w:style>
  <w:style w:styleId="Style_89" w:type="paragraph">
    <w:name w:val="ListLabel 9"/>
    <w:link w:val="Style_89_ch"/>
  </w:style>
  <w:style w:styleId="Style_89_ch" w:type="character">
    <w:name w:val="ListLabel 9"/>
    <w:link w:val="Style_89"/>
  </w:style>
  <w:style w:styleId="Style_90" w:type="paragraph">
    <w:name w:val="ListLabel 21"/>
    <w:link w:val="Style_90_ch"/>
  </w:style>
  <w:style w:styleId="Style_90_ch" w:type="character">
    <w:name w:val="ListLabel 21"/>
    <w:link w:val="Style_90"/>
  </w:style>
  <w:style w:styleId="Style_91" w:type="paragraph">
    <w:name w:val="heading 1"/>
    <w:basedOn w:val="Style_18"/>
    <w:link w:val="Style_91_ch"/>
    <w:uiPriority w:val="9"/>
    <w:qFormat/>
    <w:pPr>
      <w:widowControl w:val="1"/>
      <w:ind w:firstLine="0"/>
      <w:outlineLvl w:val="0"/>
    </w:pPr>
  </w:style>
  <w:style w:styleId="Style_91_ch" w:type="character">
    <w:name w:val="heading 1"/>
    <w:basedOn w:val="Style_18_ch"/>
    <w:link w:val="Style_91"/>
  </w:style>
  <w:style w:styleId="Style_23" w:type="paragraph">
    <w:name w:val="УДД"/>
    <w:basedOn w:val="Style_70"/>
    <w:link w:val="Style_23_ch"/>
  </w:style>
  <w:style w:styleId="Style_23_ch" w:type="character">
    <w:name w:val="УДД"/>
    <w:basedOn w:val="Style_70_ch"/>
    <w:link w:val="Style_23"/>
  </w:style>
  <w:style w:styleId="Style_92" w:type="paragraph">
    <w:name w:val="post-author-name"/>
    <w:basedOn w:val="Style_37"/>
    <w:link w:val="Style_92_ch"/>
  </w:style>
  <w:style w:styleId="Style_92_ch" w:type="character">
    <w:name w:val="post-author-name"/>
    <w:basedOn w:val="Style_37_ch"/>
    <w:link w:val="Style_92"/>
  </w:style>
  <w:style w:styleId="Style_26" w:type="paragraph">
    <w:name w:val="Hyperlink"/>
    <w:basedOn w:val="Style_37"/>
    <w:link w:val="Style_26_ch"/>
    <w:rPr>
      <w:color w:val="0000FF"/>
      <w:u w:val="single"/>
    </w:rPr>
  </w:style>
  <w:style w:styleId="Style_26_ch" w:type="character">
    <w:name w:val="Hyperlink"/>
    <w:basedOn w:val="Style_37_ch"/>
    <w:link w:val="Style_26"/>
    <w:rPr>
      <w:color w:val="0000FF"/>
      <w:u w:val="single"/>
    </w:rPr>
  </w:style>
  <w:style w:styleId="Style_93" w:type="paragraph">
    <w:name w:val="Footnote"/>
    <w:basedOn w:val="Style_33"/>
    <w:link w:val="Style_93_ch"/>
    <w:pPr>
      <w:widowControl w:val="1"/>
      <w:spacing w:after="200" w:line="276" w:lineRule="auto"/>
      <w:ind/>
    </w:pPr>
    <w:rPr>
      <w:rFonts w:ascii="Calibri" w:hAnsi="Calibri"/>
      <w:sz w:val="20"/>
    </w:rPr>
  </w:style>
  <w:style w:styleId="Style_93_ch" w:type="character">
    <w:name w:val="Footnote"/>
    <w:basedOn w:val="Style_33_ch"/>
    <w:link w:val="Style_93"/>
    <w:rPr>
      <w:rFonts w:ascii="Calibri" w:hAnsi="Calibri"/>
      <w:sz w:val="20"/>
    </w:rPr>
  </w:style>
  <w:style w:styleId="Style_9" w:type="paragraph">
    <w:name w:val="toc 1"/>
    <w:basedOn w:val="Style_33"/>
    <w:link w:val="Style_9_ch"/>
    <w:uiPriority w:val="39"/>
    <w:pPr>
      <w:widowControl w:val="1"/>
      <w:tabs>
        <w:tab w:leader="dot" w:pos="9355" w:val="right"/>
      </w:tabs>
      <w:spacing w:after="100"/>
      <w:ind w:firstLine="0"/>
    </w:pPr>
  </w:style>
  <w:style w:styleId="Style_9_ch" w:type="character">
    <w:name w:val="toc 1"/>
    <w:basedOn w:val="Style_33_ch"/>
    <w:link w:val="Style_9"/>
  </w:style>
  <w:style w:styleId="Style_94" w:type="paragraph">
    <w:name w:val="Без интервала Знак"/>
    <w:basedOn w:val="Style_61"/>
    <w:link w:val="Style_94_ch"/>
    <w:rPr>
      <w:rFonts w:ascii="Times New Roman" w:hAnsi="Times New Roman"/>
      <w:sz w:val="24"/>
    </w:rPr>
  </w:style>
  <w:style w:styleId="Style_94_ch" w:type="character">
    <w:name w:val="Без интервала Знак"/>
    <w:basedOn w:val="Style_61_ch"/>
    <w:link w:val="Style_94"/>
    <w:rPr>
      <w:rFonts w:ascii="Times New Roman" w:hAnsi="Times New Roman"/>
      <w:sz w:val="24"/>
    </w:rPr>
  </w:style>
  <w:style w:styleId="Style_95" w:type="paragraph">
    <w:name w:val="Подзаголовок Знак"/>
    <w:basedOn w:val="Style_37"/>
    <w:link w:val="Style_95_ch"/>
    <w:rPr>
      <w:rFonts w:ascii="Times New Roman" w:hAnsi="Times New Roman"/>
      <w:b w:val="1"/>
      <w:sz w:val="24"/>
      <w:u w:val="single"/>
    </w:rPr>
  </w:style>
  <w:style w:styleId="Style_95_ch" w:type="character">
    <w:name w:val="Подзаголовок Знак"/>
    <w:basedOn w:val="Style_37_ch"/>
    <w:link w:val="Style_95"/>
    <w:rPr>
      <w:rFonts w:ascii="Times New Roman" w:hAnsi="Times New Roman"/>
      <w:b w:val="1"/>
      <w:sz w:val="24"/>
      <w:u w:val="single"/>
    </w:rPr>
  </w:style>
  <w:style w:styleId="Style_14" w:type="paragraph">
    <w:name w:val="Ссылка указателя"/>
    <w:link w:val="Style_14_ch"/>
  </w:style>
  <w:style w:styleId="Style_14_ch" w:type="character">
    <w:name w:val="Ссылка указателя"/>
    <w:link w:val="Style_14"/>
  </w:style>
  <w:style w:styleId="Style_96" w:type="paragraph">
    <w:name w:val="jrnl"/>
    <w:link w:val="Style_96_ch"/>
  </w:style>
  <w:style w:styleId="Style_96_ch" w:type="character">
    <w:name w:val="jrnl"/>
    <w:link w:val="Style_96"/>
  </w:style>
  <w:style w:styleId="Style_97" w:type="paragraph">
    <w:name w:val="Bibliography"/>
    <w:basedOn w:val="Style_33"/>
    <w:next w:val="Style_33"/>
    <w:link w:val="Style_97_ch"/>
    <w:pPr>
      <w:widowControl w:val="1"/>
      <w:spacing w:line="240" w:lineRule="auto"/>
      <w:ind w:firstLine="0"/>
      <w:jc w:val="left"/>
    </w:pPr>
  </w:style>
  <w:style w:styleId="Style_97_ch" w:type="character">
    <w:name w:val="Bibliography"/>
    <w:basedOn w:val="Style_33_ch"/>
    <w:link w:val="Style_97"/>
  </w:style>
  <w:style w:styleId="Style_98" w:type="paragraph">
    <w:name w:val="Header and Footer"/>
    <w:link w:val="Style_98_ch"/>
    <w:pPr>
      <w:spacing w:line="240" w:lineRule="auto"/>
      <w:ind/>
      <w:jc w:val="both"/>
    </w:pPr>
    <w:rPr>
      <w:rFonts w:ascii="XO Thames" w:hAnsi="XO Thames"/>
      <w:sz w:val="28"/>
    </w:rPr>
  </w:style>
  <w:style w:styleId="Style_98_ch" w:type="character">
    <w:name w:val="Header and Footer"/>
    <w:link w:val="Style_98"/>
    <w:rPr>
      <w:rFonts w:ascii="XO Thames" w:hAnsi="XO Thames"/>
      <w:sz w:val="28"/>
    </w:rPr>
  </w:style>
  <w:style w:styleId="Style_99" w:type="paragraph">
    <w:name w:val="Ком Знак"/>
    <w:basedOn w:val="Style_61"/>
    <w:link w:val="Style_99_ch"/>
    <w:rPr>
      <w:rFonts w:ascii="Times New Roman" w:hAnsi="Times New Roman"/>
      <w:i w:val="1"/>
      <w:sz w:val="24"/>
    </w:rPr>
  </w:style>
  <w:style w:styleId="Style_99_ch" w:type="character">
    <w:name w:val="Ком Знак"/>
    <w:basedOn w:val="Style_61_ch"/>
    <w:link w:val="Style_99"/>
    <w:rPr>
      <w:rFonts w:ascii="Times New Roman" w:hAnsi="Times New Roman"/>
      <w:i w:val="1"/>
      <w:sz w:val="24"/>
    </w:rPr>
  </w:style>
  <w:style w:styleId="Style_29" w:type="paragraph">
    <w:name w:val="Оглавление 1 Знак"/>
    <w:basedOn w:val="Style_38"/>
    <w:link w:val="Style_29_ch"/>
    <w:pPr>
      <w:widowControl w:val="1"/>
      <w:spacing w:line="360" w:lineRule="auto"/>
      <w:ind w:hanging="283" w:left="709"/>
    </w:pPr>
    <w:rPr>
      <w:sz w:val="24"/>
    </w:rPr>
  </w:style>
  <w:style w:styleId="Style_29_ch" w:type="character">
    <w:name w:val="Оглавление 1 Знак"/>
    <w:basedOn w:val="Style_38_ch"/>
    <w:link w:val="Style_29"/>
    <w:rPr>
      <w:sz w:val="24"/>
    </w:rPr>
  </w:style>
  <w:style w:styleId="Style_100" w:type="paragraph">
    <w:name w:val="ListLabel 32"/>
    <w:link w:val="Style_100_ch"/>
  </w:style>
  <w:style w:styleId="Style_100_ch" w:type="character">
    <w:name w:val="ListLabel 32"/>
    <w:link w:val="Style_100"/>
  </w:style>
  <w:style w:styleId="Style_101" w:type="paragraph">
    <w:name w:val="Default"/>
    <w:link w:val="Style_101_ch"/>
    <w:rPr>
      <w:rFonts w:ascii="Times New Roman" w:hAnsi="Times New Roman"/>
      <w:color w:val="000000"/>
      <w:sz w:val="24"/>
    </w:rPr>
  </w:style>
  <w:style w:styleId="Style_101_ch" w:type="character">
    <w:name w:val="Default"/>
    <w:link w:val="Style_101"/>
    <w:rPr>
      <w:rFonts w:ascii="Times New Roman" w:hAnsi="Times New Roman"/>
      <w:color w:val="000000"/>
      <w:sz w:val="24"/>
    </w:rPr>
  </w:style>
  <w:style w:styleId="Style_102" w:type="paragraph">
    <w:name w:val="toc 9"/>
    <w:next w:val="Style_33"/>
    <w:link w:val="Style_102_ch"/>
    <w:uiPriority w:val="39"/>
    <w:pPr>
      <w:ind w:firstLine="0" w:left="1600"/>
      <w:jc w:val="left"/>
    </w:pPr>
    <w:rPr>
      <w:rFonts w:ascii="XO Thames" w:hAnsi="XO Thames"/>
      <w:sz w:val="28"/>
    </w:rPr>
  </w:style>
  <w:style w:styleId="Style_102_ch" w:type="character">
    <w:name w:val="toc 9"/>
    <w:link w:val="Style_102"/>
    <w:rPr>
      <w:rFonts w:ascii="XO Thames" w:hAnsi="XO Thames"/>
      <w:sz w:val="28"/>
    </w:rPr>
  </w:style>
  <w:style w:styleId="Style_103" w:type="paragraph">
    <w:name w:val="ListLabel 37"/>
    <w:link w:val="Style_103_ch"/>
  </w:style>
  <w:style w:styleId="Style_103_ch" w:type="character">
    <w:name w:val="ListLabel 37"/>
    <w:link w:val="Style_103"/>
  </w:style>
  <w:style w:styleId="Style_104" w:type="paragraph">
    <w:name w:val="anchor-text"/>
    <w:basedOn w:val="Style_37"/>
    <w:link w:val="Style_104_ch"/>
  </w:style>
  <w:style w:styleId="Style_104_ch" w:type="character">
    <w:name w:val="anchor-text"/>
    <w:basedOn w:val="Style_37_ch"/>
    <w:link w:val="Style_104"/>
  </w:style>
  <w:style w:styleId="Style_105" w:type="paragraph">
    <w:name w:val="Стиль1 Знак"/>
    <w:basedOn w:val="Style_76"/>
    <w:link w:val="Style_105_ch"/>
    <w:rPr>
      <w:rFonts w:ascii="Times New Roman" w:hAnsi="Times New Roman"/>
      <w:sz w:val="24"/>
    </w:rPr>
  </w:style>
  <w:style w:styleId="Style_105_ch" w:type="character">
    <w:name w:val="Стиль1 Знак"/>
    <w:basedOn w:val="Style_76_ch"/>
    <w:link w:val="Style_105"/>
    <w:rPr>
      <w:rFonts w:ascii="Times New Roman" w:hAnsi="Times New Roman"/>
      <w:sz w:val="24"/>
    </w:rPr>
  </w:style>
  <w:style w:styleId="Style_106" w:type="paragraph">
    <w:name w:val="ListLabel 10"/>
    <w:link w:val="Style_106_ch"/>
    <w:rPr>
      <w:sz w:val="24"/>
    </w:rPr>
  </w:style>
  <w:style w:styleId="Style_106_ch" w:type="character">
    <w:name w:val="ListLabel 10"/>
    <w:link w:val="Style_106"/>
    <w:rPr>
      <w:sz w:val="24"/>
    </w:rPr>
  </w:style>
  <w:style w:styleId="Style_107" w:type="paragraph">
    <w:name w:val="ListLabel 36"/>
    <w:link w:val="Style_107_ch"/>
    <w:rPr>
      <w:b w:val="1"/>
      <w:sz w:val="24"/>
    </w:rPr>
  </w:style>
  <w:style w:styleId="Style_107_ch" w:type="character">
    <w:name w:val="ListLabel 36"/>
    <w:link w:val="Style_107"/>
    <w:rPr>
      <w:b w:val="1"/>
      <w:sz w:val="24"/>
    </w:rPr>
  </w:style>
  <w:style w:styleId="Style_108" w:type="paragraph">
    <w:name w:val="ListLabel 27"/>
    <w:link w:val="Style_108_ch"/>
  </w:style>
  <w:style w:styleId="Style_108_ch" w:type="character">
    <w:name w:val="ListLabel 27"/>
    <w:link w:val="Style_108"/>
  </w:style>
  <w:style w:styleId="Style_109" w:type="paragraph">
    <w:name w:val="header"/>
    <w:basedOn w:val="Style_33"/>
    <w:link w:val="Style_109_ch"/>
    <w:pPr>
      <w:widowControl w:val="1"/>
      <w:tabs>
        <w:tab w:leader="none" w:pos="4677" w:val="center"/>
        <w:tab w:leader="none" w:pos="9355" w:val="right"/>
      </w:tabs>
      <w:spacing w:line="240" w:lineRule="auto"/>
      <w:ind/>
    </w:pPr>
  </w:style>
  <w:style w:styleId="Style_109_ch" w:type="character">
    <w:name w:val="header"/>
    <w:basedOn w:val="Style_33_ch"/>
    <w:link w:val="Style_109"/>
  </w:style>
  <w:style w:styleId="Style_110" w:type="paragraph">
    <w:name w:val="toc 8"/>
    <w:next w:val="Style_33"/>
    <w:link w:val="Style_110_ch"/>
    <w:uiPriority w:val="39"/>
    <w:pPr>
      <w:ind w:firstLine="0" w:left="1400"/>
      <w:jc w:val="left"/>
    </w:pPr>
    <w:rPr>
      <w:rFonts w:ascii="XO Thames" w:hAnsi="XO Thames"/>
      <w:sz w:val="28"/>
    </w:rPr>
  </w:style>
  <w:style w:styleId="Style_110_ch" w:type="character">
    <w:name w:val="toc 8"/>
    <w:link w:val="Style_110"/>
    <w:rPr>
      <w:rFonts w:ascii="XO Thames" w:hAnsi="XO Thames"/>
      <w:sz w:val="28"/>
    </w:rPr>
  </w:style>
  <w:style w:styleId="Style_111" w:type="paragraph">
    <w:name w:val="ListLabel 28"/>
    <w:link w:val="Style_111_ch"/>
  </w:style>
  <w:style w:styleId="Style_111_ch" w:type="character">
    <w:name w:val="ListLabel 28"/>
    <w:link w:val="Style_111"/>
  </w:style>
  <w:style w:styleId="Style_112" w:type="paragraph">
    <w:name w:val="ListLabel 5"/>
    <w:link w:val="Style_112_ch"/>
  </w:style>
  <w:style w:styleId="Style_112_ch" w:type="character">
    <w:name w:val="ListLabel 5"/>
    <w:link w:val="Style_112"/>
  </w:style>
  <w:style w:styleId="Style_27" w:type="paragraph">
    <w:name w:val="apple-style-span"/>
    <w:link w:val="Style_27_ch"/>
  </w:style>
  <w:style w:styleId="Style_27_ch" w:type="character">
    <w:name w:val="apple-style-span"/>
    <w:link w:val="Style_27"/>
  </w:style>
  <w:style w:styleId="Style_113" w:type="paragraph">
    <w:name w:val="post-title"/>
    <w:basedOn w:val="Style_37"/>
    <w:link w:val="Style_113_ch"/>
  </w:style>
  <w:style w:styleId="Style_113_ch" w:type="character">
    <w:name w:val="post-title"/>
    <w:basedOn w:val="Style_37_ch"/>
    <w:link w:val="Style_113"/>
  </w:style>
  <w:style w:styleId="Style_114" w:type="paragraph">
    <w:name w:val="ListLabel 13"/>
    <w:link w:val="Style_114_ch"/>
  </w:style>
  <w:style w:styleId="Style_114_ch" w:type="character">
    <w:name w:val="ListLabel 13"/>
    <w:link w:val="Style_114"/>
  </w:style>
  <w:style w:styleId="Style_16" w:type="paragraph">
    <w:name w:val="Custom Content Normal"/>
    <w:link w:val="Style_16_ch"/>
    <w:pPr>
      <w:keepNext w:val="1"/>
      <w:keepLines w:val="1"/>
      <w:widowControl w:val="1"/>
      <w:spacing w:before="240" w:line="360" w:lineRule="auto"/>
      <w:ind/>
      <w:contextualSpacing w:val="1"/>
      <w:jc w:val="center"/>
      <w:outlineLvl w:val="0"/>
    </w:pPr>
    <w:rPr>
      <w:rFonts w:ascii="Times New Roman" w:hAnsi="Times New Roman"/>
      <w:b w:val="1"/>
      <w:sz w:val="28"/>
    </w:rPr>
  </w:style>
  <w:style w:styleId="Style_16_ch" w:type="character">
    <w:name w:val="Custom Content Normal"/>
    <w:link w:val="Style_16"/>
    <w:rPr>
      <w:rFonts w:ascii="Times New Roman" w:hAnsi="Times New Roman"/>
      <w:b w:val="1"/>
      <w:sz w:val="28"/>
    </w:rPr>
  </w:style>
  <w:style w:styleId="Style_115" w:type="paragraph">
    <w:name w:val="ListLabel 2"/>
    <w:link w:val="Style_115_ch"/>
  </w:style>
  <w:style w:styleId="Style_115_ch" w:type="character">
    <w:name w:val="ListLabel 2"/>
    <w:link w:val="Style_115"/>
  </w:style>
  <w:style w:styleId="Style_2" w:type="paragraph">
    <w:name w:val="Содержимое врезки"/>
    <w:basedOn w:val="Style_33"/>
    <w:link w:val="Style_2_ch"/>
  </w:style>
  <w:style w:styleId="Style_2_ch" w:type="character">
    <w:name w:val="Содержимое врезки"/>
    <w:basedOn w:val="Style_33_ch"/>
    <w:link w:val="Style_2"/>
  </w:style>
  <w:style w:styleId="Style_116" w:type="paragraph">
    <w:name w:val="ListLabel 16"/>
    <w:link w:val="Style_116_ch"/>
  </w:style>
  <w:style w:styleId="Style_116_ch" w:type="character">
    <w:name w:val="ListLabel 16"/>
    <w:link w:val="Style_116"/>
  </w:style>
  <w:style w:styleId="Style_117" w:type="paragraph">
    <w:name w:val="ListLabel 24"/>
    <w:link w:val="Style_117_ch"/>
  </w:style>
  <w:style w:styleId="Style_117_ch" w:type="character">
    <w:name w:val="ListLabel 24"/>
    <w:link w:val="Style_117"/>
  </w:style>
  <w:style w:styleId="Style_118" w:type="paragraph">
    <w:name w:val="annotation subject"/>
    <w:basedOn w:val="Style_4"/>
    <w:link w:val="Style_118_ch"/>
    <w:rPr>
      <w:b w:val="1"/>
    </w:rPr>
  </w:style>
  <w:style w:styleId="Style_118_ch" w:type="character">
    <w:name w:val="annotation subject"/>
    <w:basedOn w:val="Style_4_ch"/>
    <w:link w:val="Style_118"/>
    <w:rPr>
      <w:b w:val="1"/>
    </w:rPr>
  </w:style>
  <w:style w:styleId="Style_119" w:type="paragraph">
    <w:name w:val="УД Знак"/>
    <w:basedOn w:val="Style_94"/>
    <w:link w:val="Style_119_ch"/>
    <w:rPr>
      <w:rFonts w:ascii="Times New Roman" w:hAnsi="Times New Roman"/>
      <w:b w:val="1"/>
      <w:sz w:val="24"/>
    </w:rPr>
  </w:style>
  <w:style w:styleId="Style_119_ch" w:type="character">
    <w:name w:val="УД Знак"/>
    <w:basedOn w:val="Style_94_ch"/>
    <w:link w:val="Style_119"/>
    <w:rPr>
      <w:rFonts w:ascii="Times New Roman" w:hAnsi="Times New Roman"/>
      <w:b w:val="1"/>
      <w:sz w:val="24"/>
    </w:rPr>
  </w:style>
  <w:style w:styleId="Style_120" w:type="paragraph">
    <w:name w:val="Заголовок1"/>
    <w:basedOn w:val="Style_33"/>
    <w:next w:val="Style_53"/>
    <w:link w:val="Style_120_ch"/>
    <w:pPr>
      <w:keepNext w:val="1"/>
      <w:widowControl w:val="1"/>
      <w:spacing w:after="120" w:before="240"/>
      <w:ind/>
    </w:pPr>
    <w:rPr>
      <w:rFonts w:ascii="Liberation Sans" w:hAnsi="Liberation Sans"/>
      <w:sz w:val="28"/>
    </w:rPr>
  </w:style>
  <w:style w:styleId="Style_120_ch" w:type="character">
    <w:name w:val="Заголовок1"/>
    <w:basedOn w:val="Style_33_ch"/>
    <w:link w:val="Style_120"/>
    <w:rPr>
      <w:rFonts w:ascii="Liberation Sans" w:hAnsi="Liberation Sans"/>
      <w:sz w:val="28"/>
    </w:rPr>
  </w:style>
  <w:style w:styleId="Style_121" w:type="paragraph">
    <w:name w:val="toc 5"/>
    <w:next w:val="Style_33"/>
    <w:link w:val="Style_121_ch"/>
    <w:uiPriority w:val="39"/>
    <w:pPr>
      <w:ind w:firstLine="0" w:left="800"/>
      <w:jc w:val="left"/>
    </w:pPr>
    <w:rPr>
      <w:rFonts w:ascii="XO Thames" w:hAnsi="XO Thames"/>
      <w:sz w:val="28"/>
    </w:rPr>
  </w:style>
  <w:style w:styleId="Style_121_ch" w:type="character">
    <w:name w:val="toc 5"/>
    <w:link w:val="Style_121"/>
    <w:rPr>
      <w:rFonts w:ascii="XO Thames" w:hAnsi="XO Thames"/>
      <w:sz w:val="28"/>
    </w:rPr>
  </w:style>
  <w:style w:styleId="Style_122" w:type="paragraph">
    <w:name w:val="ListLabel 17"/>
    <w:link w:val="Style_122_ch"/>
  </w:style>
  <w:style w:styleId="Style_122_ch" w:type="character">
    <w:name w:val="ListLabel 17"/>
    <w:link w:val="Style_122"/>
  </w:style>
  <w:style w:styleId="Style_24" w:type="paragraph">
    <w:name w:val="Стиль1"/>
    <w:basedOn w:val="Style_33"/>
    <w:link w:val="Style_24_ch"/>
    <w:pPr>
      <w:widowControl w:val="1"/>
      <w:numPr>
        <w:numId w:val="18"/>
      </w:numPr>
      <w:spacing w:before="240"/>
      <w:ind/>
    </w:pPr>
  </w:style>
  <w:style w:styleId="Style_24_ch" w:type="character">
    <w:name w:val="Стиль1"/>
    <w:basedOn w:val="Style_33_ch"/>
    <w:link w:val="Style_24"/>
  </w:style>
  <w:style w:styleId="Style_123" w:type="paragraph">
    <w:name w:val="value"/>
    <w:basedOn w:val="Style_37"/>
    <w:link w:val="Style_123_ch"/>
  </w:style>
  <w:style w:styleId="Style_123_ch" w:type="character">
    <w:name w:val="value"/>
    <w:basedOn w:val="Style_37_ch"/>
    <w:link w:val="Style_123"/>
  </w:style>
  <w:style w:styleId="Style_124" w:type="paragraph">
    <w:name w:val="ListLabel 26"/>
    <w:link w:val="Style_124_ch"/>
  </w:style>
  <w:style w:styleId="Style_124_ch" w:type="character">
    <w:name w:val="ListLabel 26"/>
    <w:link w:val="Style_124"/>
  </w:style>
  <w:style w:styleId="Style_125" w:type="paragraph">
    <w:name w:val="Наим. табл"/>
    <w:basedOn w:val="Style_33"/>
    <w:link w:val="Style_125_ch"/>
  </w:style>
  <w:style w:styleId="Style_125_ch" w:type="character">
    <w:name w:val="Наим. табл"/>
    <w:basedOn w:val="Style_33_ch"/>
    <w:link w:val="Style_125"/>
  </w:style>
  <w:style w:styleId="Style_126" w:type="paragraph">
    <w:name w:val="HTML Cite"/>
    <w:basedOn w:val="Style_37"/>
    <w:link w:val="Style_126_ch"/>
    <w:rPr>
      <w:i w:val="1"/>
    </w:rPr>
  </w:style>
  <w:style w:styleId="Style_126_ch" w:type="character">
    <w:name w:val="HTML Cite"/>
    <w:basedOn w:val="Style_37_ch"/>
    <w:link w:val="Style_126"/>
    <w:rPr>
      <w:i w:val="1"/>
    </w:rPr>
  </w:style>
  <w:style w:styleId="Style_127" w:type="paragraph">
    <w:name w:val="ListLabel 11"/>
    <w:link w:val="Style_127_ch"/>
  </w:style>
  <w:style w:styleId="Style_127_ch" w:type="character">
    <w:name w:val="ListLabel 11"/>
    <w:link w:val="Style_127"/>
  </w:style>
  <w:style w:styleId="Style_128" w:type="paragraph">
    <w:name w:val="ListLabel 25"/>
    <w:link w:val="Style_128_ch"/>
  </w:style>
  <w:style w:styleId="Style_128_ch" w:type="character">
    <w:name w:val="ListLabel 25"/>
    <w:link w:val="Style_128"/>
  </w:style>
  <w:style w:styleId="Style_129" w:type="paragraph">
    <w:name w:val="Subtle Reference"/>
    <w:link w:val="Style_129_ch"/>
    <w:rPr>
      <w:rFonts w:ascii="Times New Roman" w:hAnsi="Times New Roman"/>
      <w:b w:val="1"/>
      <w:sz w:val="24"/>
    </w:rPr>
  </w:style>
  <w:style w:styleId="Style_129_ch" w:type="character">
    <w:name w:val="Subtle Reference"/>
    <w:link w:val="Style_129"/>
    <w:rPr>
      <w:rFonts w:ascii="Times New Roman" w:hAnsi="Times New Roman"/>
      <w:b w:val="1"/>
      <w:sz w:val="24"/>
    </w:rPr>
  </w:style>
  <w:style w:styleId="Style_15" w:type="paragraph">
    <w:name w:val="Сокращения"/>
    <w:basedOn w:val="Style_33"/>
    <w:link w:val="Style_15_ch"/>
  </w:style>
  <w:style w:styleId="Style_15_ch" w:type="character">
    <w:name w:val="Сокращения"/>
    <w:basedOn w:val="Style_33_ch"/>
    <w:link w:val="Style_15"/>
  </w:style>
  <w:style w:styleId="Style_130" w:type="paragraph">
    <w:name w:val="Unresolved Mention"/>
    <w:basedOn w:val="Style_37"/>
    <w:link w:val="Style_130_ch"/>
    <w:rPr>
      <w:color w:val="605E5C"/>
      <w:shd w:fill="E1DFDD" w:val="clear"/>
    </w:rPr>
  </w:style>
  <w:style w:styleId="Style_130_ch" w:type="character">
    <w:name w:val="Unresolved Mention"/>
    <w:basedOn w:val="Style_37_ch"/>
    <w:link w:val="Style_130"/>
    <w:rPr>
      <w:color w:val="605E5C"/>
      <w:shd w:fill="E1DFDD" w:val="clear"/>
    </w:rPr>
  </w:style>
  <w:style w:styleId="Style_131" w:type="paragraph">
    <w:name w:val="ListLabel 23"/>
    <w:link w:val="Style_131_ch"/>
  </w:style>
  <w:style w:styleId="Style_131_ch" w:type="character">
    <w:name w:val="ListLabel 23"/>
    <w:link w:val="Style_131"/>
  </w:style>
  <w:style w:styleId="Style_132" w:type="paragraph">
    <w:name w:val="ListLabel 33"/>
    <w:link w:val="Style_132_ch"/>
  </w:style>
  <w:style w:styleId="Style_132_ch" w:type="character">
    <w:name w:val="ListLabel 33"/>
    <w:link w:val="Style_132"/>
  </w:style>
  <w:style w:styleId="Style_19" w:type="paragraph">
    <w:name w:val="Subtitle"/>
    <w:basedOn w:val="Style_33"/>
    <w:link w:val="Style_19_ch"/>
    <w:uiPriority w:val="11"/>
    <w:qFormat/>
    <w:pPr>
      <w:widowControl w:val="1"/>
      <w:spacing w:before="240"/>
      <w:ind/>
    </w:pPr>
    <w:rPr>
      <w:b w:val="1"/>
      <w:u w:val="single"/>
    </w:rPr>
  </w:style>
  <w:style w:styleId="Style_19_ch" w:type="character">
    <w:name w:val="Subtitle"/>
    <w:basedOn w:val="Style_33_ch"/>
    <w:link w:val="Style_19"/>
    <w:rPr>
      <w:b w:val="1"/>
      <w:u w:val="single"/>
    </w:rPr>
  </w:style>
  <w:style w:styleId="Style_133" w:type="paragraph">
    <w:link w:val="Style_133_ch"/>
    <w:semiHidden w:val="1"/>
    <w:unhideWhenUsed w:val="1"/>
    <w:rPr>
      <w:rFonts w:ascii="Times New Roman" w:hAnsi="Times New Roman"/>
      <w:sz w:val="24"/>
    </w:rPr>
  </w:style>
  <w:style w:styleId="Style_133_ch" w:type="character">
    <w:link w:val="Style_133"/>
    <w:semiHidden w:val="1"/>
    <w:unhideWhenUsed w:val="1"/>
    <w:rPr>
      <w:rFonts w:ascii="Times New Roman" w:hAnsi="Times New Roman"/>
      <w:sz w:val="24"/>
    </w:rPr>
  </w:style>
  <w:style w:styleId="Style_31" w:type="paragraph">
    <w:name w:val="No Spacing"/>
    <w:basedOn w:val="Style_6"/>
    <w:link w:val="Style_31_ch"/>
    <w:pPr>
      <w:widowControl w:val="1"/>
      <w:spacing w:before="240"/>
      <w:ind w:hanging="425" w:left="851"/>
    </w:pPr>
  </w:style>
  <w:style w:styleId="Style_31_ch" w:type="character">
    <w:name w:val="No Spacing"/>
    <w:basedOn w:val="Style_6_ch"/>
    <w:link w:val="Style_31"/>
  </w:style>
  <w:style w:styleId="Style_134" w:type="paragraph">
    <w:name w:val="Title"/>
    <w:basedOn w:val="Style_33"/>
    <w:link w:val="Style_134_ch"/>
    <w:uiPriority w:val="10"/>
    <w:qFormat/>
    <w:pPr>
      <w:widowControl w:val="1"/>
      <w:ind/>
      <w:contextualSpacing w:val="1"/>
      <w:jc w:val="center"/>
    </w:pPr>
    <w:rPr>
      <w:spacing w:val="-10"/>
      <w:sz w:val="28"/>
      <w:u w:val="single"/>
    </w:rPr>
  </w:style>
  <w:style w:styleId="Style_134_ch" w:type="character">
    <w:name w:val="Title"/>
    <w:basedOn w:val="Style_33_ch"/>
    <w:link w:val="Style_134"/>
    <w:rPr>
      <w:spacing w:val="-10"/>
      <w:sz w:val="28"/>
      <w:u w:val="single"/>
    </w:rPr>
  </w:style>
  <w:style w:styleId="Style_135" w:type="paragraph">
    <w:name w:val="heading 4"/>
    <w:basedOn w:val="Style_33"/>
    <w:next w:val="Style_33"/>
    <w:link w:val="Style_135_ch"/>
    <w:uiPriority w:val="9"/>
    <w:qFormat/>
    <w:pPr>
      <w:keepNext w:val="1"/>
      <w:keepLines w:val="1"/>
      <w:widowControl w:val="1"/>
      <w:spacing w:before="40"/>
      <w:ind/>
      <w:outlineLvl w:val="3"/>
    </w:pPr>
    <w:rPr>
      <w:rFonts w:asciiTheme="majorAscii" w:hAnsiTheme="majorHAnsi"/>
      <w:i w:val="1"/>
      <w:color w:themeColor="accent1" w:themeShade="BF" w:val="2E75B5"/>
    </w:rPr>
  </w:style>
  <w:style w:styleId="Style_135_ch" w:type="character">
    <w:name w:val="heading 4"/>
    <w:basedOn w:val="Style_33_ch"/>
    <w:link w:val="Style_135"/>
    <w:rPr>
      <w:rFonts w:asciiTheme="majorAscii" w:hAnsiTheme="majorHAnsi"/>
      <w:i w:val="1"/>
      <w:color w:themeColor="accent1" w:themeShade="BF" w:val="2E75B5"/>
    </w:rPr>
  </w:style>
  <w:style w:styleId="Style_136" w:type="paragraph">
    <w:name w:val="ref-journal"/>
    <w:basedOn w:val="Style_37"/>
    <w:link w:val="Style_136_ch"/>
  </w:style>
  <w:style w:styleId="Style_136_ch" w:type="character">
    <w:name w:val="ref-journal"/>
    <w:basedOn w:val="Style_37_ch"/>
    <w:link w:val="Style_136"/>
  </w:style>
  <w:style w:styleId="Style_137" w:type="paragraph">
    <w:name w:val="Название Знак"/>
    <w:basedOn w:val="Style_37"/>
    <w:link w:val="Style_137_ch"/>
    <w:rPr>
      <w:rFonts w:ascii="Times New Roman" w:hAnsi="Times New Roman"/>
      <w:spacing w:val="-10"/>
      <w:sz w:val="28"/>
      <w:u w:val="single"/>
    </w:rPr>
  </w:style>
  <w:style w:styleId="Style_137_ch" w:type="character">
    <w:name w:val="Название Знак"/>
    <w:basedOn w:val="Style_37_ch"/>
    <w:link w:val="Style_137"/>
    <w:rPr>
      <w:rFonts w:ascii="Times New Roman" w:hAnsi="Times New Roman"/>
      <w:spacing w:val="-10"/>
      <w:sz w:val="28"/>
      <w:u w:val="single"/>
    </w:rPr>
  </w:style>
  <w:style w:styleId="Style_138" w:type="paragraph">
    <w:name w:val="Тема примечания Знак"/>
    <w:basedOn w:val="Style_80"/>
    <w:link w:val="Style_138_ch"/>
    <w:rPr>
      <w:rFonts w:ascii="Times New Roman" w:hAnsi="Times New Roman"/>
      <w:b w:val="1"/>
      <w:sz w:val="20"/>
    </w:rPr>
  </w:style>
  <w:style w:styleId="Style_138_ch" w:type="character">
    <w:name w:val="Тема примечания Знак"/>
    <w:basedOn w:val="Style_80_ch"/>
    <w:link w:val="Style_138"/>
    <w:rPr>
      <w:rFonts w:ascii="Times New Roman" w:hAnsi="Times New Roman"/>
      <w:b w:val="1"/>
      <w:sz w:val="20"/>
    </w:rPr>
  </w:style>
  <w:style w:styleId="Style_139" w:type="paragraph">
    <w:name w:val="Памятки"/>
    <w:basedOn w:val="Style_17"/>
    <w:link w:val="Style_139_ch"/>
    <w:rPr>
      <w:i w:val="1"/>
      <w:color w:val="FF0000"/>
      <w:sz w:val="18"/>
    </w:rPr>
  </w:style>
  <w:style w:styleId="Style_139_ch" w:type="character">
    <w:name w:val="Памятки"/>
    <w:basedOn w:val="Style_17_ch"/>
    <w:link w:val="Style_139"/>
    <w:rPr>
      <w:i w:val="1"/>
      <w:color w:val="FF0000"/>
      <w:sz w:val="18"/>
    </w:rPr>
  </w:style>
  <w:style w:styleId="Style_140" w:type="paragraph">
    <w:name w:val="ui-ncbitoggler-master-text"/>
    <w:basedOn w:val="Style_37"/>
    <w:link w:val="Style_140_ch"/>
  </w:style>
  <w:style w:styleId="Style_140_ch" w:type="character">
    <w:name w:val="ui-ncbitoggler-master-text"/>
    <w:basedOn w:val="Style_37_ch"/>
    <w:link w:val="Style_140"/>
  </w:style>
  <w:style w:styleId="Style_141" w:type="paragraph">
    <w:name w:val="ListLabel 3"/>
    <w:link w:val="Style_141_ch"/>
  </w:style>
  <w:style w:styleId="Style_141_ch" w:type="character">
    <w:name w:val="ListLabel 3"/>
    <w:link w:val="Style_141"/>
  </w:style>
  <w:style w:styleId="Style_8" w:type="paragraph">
    <w:name w:val="Наим. раздела"/>
    <w:basedOn w:val="Style_16"/>
    <w:link w:val="Style_8_ch"/>
  </w:style>
  <w:style w:styleId="Style_8_ch" w:type="character">
    <w:name w:val="Наим. раздела"/>
    <w:basedOn w:val="Style_16_ch"/>
    <w:link w:val="Style_8"/>
  </w:style>
  <w:style w:styleId="Style_18" w:type="paragraph">
    <w:name w:val="heading 2"/>
    <w:basedOn w:val="Style_19"/>
    <w:link w:val="Style_18_ch"/>
    <w:uiPriority w:val="9"/>
    <w:qFormat/>
    <w:pPr>
      <w:widowControl w:val="1"/>
      <w:ind/>
      <w:outlineLvl w:val="1"/>
    </w:pPr>
  </w:style>
  <w:style w:styleId="Style_18_ch" w:type="character">
    <w:name w:val="heading 2"/>
    <w:basedOn w:val="Style_19_ch"/>
    <w:link w:val="Style_18"/>
  </w:style>
  <w:style w:styleId="Style_142" w:type="paragraph">
    <w:name w:val="footnote reference"/>
    <w:link w:val="Style_142_ch"/>
    <w:rPr>
      <w:vertAlign w:val="superscript"/>
    </w:rPr>
  </w:style>
  <w:style w:styleId="Style_142_ch" w:type="character">
    <w:name w:val="footnote reference"/>
    <w:link w:val="Style_142"/>
    <w:rPr>
      <w:vertAlign w:val="superscript"/>
    </w:rPr>
  </w:style>
  <w:style w:styleId="Style_143" w:type="paragraph">
    <w:name w:val="TOC Heading"/>
    <w:basedOn w:val="Style_91"/>
    <w:link w:val="Style_143_ch"/>
    <w:pPr>
      <w:widowControl w:val="1"/>
      <w:spacing w:line="276" w:lineRule="auto"/>
      <w:ind/>
    </w:pPr>
  </w:style>
  <w:style w:styleId="Style_143_ch" w:type="character">
    <w:name w:val="TOC Heading"/>
    <w:basedOn w:val="Style_91_ch"/>
    <w:link w:val="Style_143"/>
  </w:style>
  <w:style w:styleId="Style_144" w:type="paragraph">
    <w:name w:val="autoren"/>
    <w:basedOn w:val="Style_37"/>
    <w:link w:val="Style_144_ch"/>
  </w:style>
  <w:style w:styleId="Style_144_ch" w:type="character">
    <w:name w:val="autoren"/>
    <w:basedOn w:val="Style_37_ch"/>
    <w:link w:val="Style_144"/>
  </w:style>
  <w:style w:styleId="Style_145" w:type="paragraph">
    <w:name w:val="ListLabel 14"/>
    <w:link w:val="Style_145_ch"/>
  </w:style>
  <w:style w:styleId="Style_145_ch" w:type="character">
    <w:name w:val="ListLabel 14"/>
    <w:link w:val="Style_145"/>
  </w:style>
  <w:style w:styleId="Style_146" w:type="paragraph">
    <w:name w:val="Emphasis"/>
    <w:basedOn w:val="Style_37"/>
    <w:link w:val="Style_146_ch"/>
    <w:rPr>
      <w:i w:val="1"/>
    </w:rPr>
  </w:style>
  <w:style w:styleId="Style_146_ch" w:type="character">
    <w:name w:val="Emphasis"/>
    <w:basedOn w:val="Style_37_ch"/>
    <w:link w:val="Style_146"/>
    <w:rPr>
      <w:i w:val="1"/>
    </w:rPr>
  </w:style>
  <w:style w:styleId="Style_147" w:type="paragraph">
    <w:name w:val="ListLabel 34"/>
    <w:link w:val="Style_147_ch"/>
  </w:style>
  <w:style w:styleId="Style_147_ch" w:type="character">
    <w:name w:val="ListLabel 34"/>
    <w:link w:val="Style_147"/>
  </w:style>
  <w:style w:styleId="Style_3" w:type="table">
    <w:name w:val="Table Grid"/>
    <w:basedOn w:val="Style_20"/>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2" w:type="table">
    <w:name w:val="Сетка таблицы1"/>
    <w:basedOn w:val="Style_20"/>
    <w:rPr>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0"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media/2.jpeg" Type="http://schemas.openxmlformats.org/officeDocument/2006/relationships/image"/>
  <Relationship Id="rId6" Target="media/1.jpeg" Type="http://schemas.openxmlformats.org/officeDocument/2006/relationships/image"/>
  <Relationship Id="rId14" Target="theme/theme1.xml" Type="http://schemas.openxmlformats.org/officeDocument/2006/relationships/theme"/>
  <Relationship Id="rId13" Target="webSettings.xml" Type="http://schemas.openxmlformats.org/officeDocument/2006/relationships/webSettings"/>
  <Relationship Id="rId4" Target="footer4.xml" Type="http://schemas.openxmlformats.org/officeDocument/2006/relationships/footer"/>
  <Relationship Id="rId3" Target="footer3.xml" Type="http://schemas.openxmlformats.org/officeDocument/2006/relationships/footer"/>
  <Relationship Id="rId12" Target="stylesWithEffects.xml" Type="http://schemas.microsoft.com/office/2007/relationships/stylesWithEffects"/>
  <Relationship Id="rId10" Target="settings.xml" Type="http://schemas.openxmlformats.org/officeDocument/2006/relationships/settings"/>
  <Relationship Id="rId5" Target="footer5.xml" Type="http://schemas.openxmlformats.org/officeDocument/2006/relationships/footer"/>
  <Relationship Id="rId11" Target="styles.xml" Type="http://schemas.openxmlformats.org/officeDocument/2006/relationships/styles"/>
  <Relationship Id="rId8" Target="media/3.png" Type="http://schemas.openxmlformats.org/officeDocument/2006/relationships/image"/>
  <Relationship Id="rId2" Target="footer2.xml" Type="http://schemas.openxmlformats.org/officeDocument/2006/relationships/footer"/>
  <Relationship Id="rId9" Target="fontTable.xml" Type="http://schemas.openxmlformats.org/officeDocument/2006/relationships/fontTable"/>
  <Relationship Id="rId15" Target="numbering.xml" Type="http://schemas.openxmlformats.org/officeDocument/2006/relationships/numbering"/>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MyOffice-CoreFramework-iOS/35-1293.911.9687.924.1@07277fa9125d0a3f5e88f9c37df869f86b5b38e1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2024-12-23T22:10:00Z</dcterms:created>
  <dcterms:modified xsi:type="dcterms:W3CDTF">2025-01-22T05:23:37Z</dcterms:modified>
</cp:coreProperties>
</file>