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color w:val="999999"/>
          <w:sz w:val="24"/>
          <w:szCs w:val="24"/>
        </w:rPr>
      </w:pPr>
      <w:r>
        <w:rPr>
          <w:color w:val="999999"/>
          <w:sz w:val="24"/>
          <w:szCs w:val="24"/>
        </w:rPr>
      </w:r>
    </w:p>
    <w:p>
      <w:pPr>
        <w:pStyle w:val="Normal"/>
        <w:rPr>
          <w:color w:val="999999"/>
          <w:sz w:val="24"/>
          <w:szCs w:val="24"/>
        </w:rPr>
      </w:pPr>
      <w:r>
        <w:rPr>
          <w:color w:val="999999"/>
          <w:sz w:val="24"/>
          <w:szCs w:val="24"/>
        </w:rPr>
      </w:r>
    </w:p>
    <w:p>
      <w:pPr>
        <w:pStyle w:val="Normal"/>
        <w:rPr>
          <w:color w:val="999999"/>
          <w:sz w:val="24"/>
          <w:szCs w:val="24"/>
        </w:rPr>
      </w:pPr>
      <w:r>
        <w:rPr>
          <w:color w:val="999999"/>
          <w:sz w:val="24"/>
          <w:szCs w:val="24"/>
        </w:rPr>
      </w:r>
    </w:p>
    <w:p>
      <w:pPr>
        <w:pStyle w:val="Normal"/>
        <w:rPr>
          <w:color w:val="999999"/>
          <w:sz w:val="24"/>
          <w:szCs w:val="24"/>
        </w:rPr>
      </w:pPr>
      <w:r>
        <w:rPr>
          <w:color w:val="999999"/>
          <w:sz w:val="24"/>
          <w:szCs w:val="24"/>
        </w:rPr>
      </w:r>
    </w:p>
    <w:p>
      <w:pPr>
        <w:pStyle w:val="Normal"/>
        <w:rPr>
          <w:color w:val="999999"/>
          <w:sz w:val="24"/>
          <w:szCs w:val="24"/>
        </w:rPr>
      </w:pPr>
      <w:r>
        <w:rPr>
          <w:color w:val="999999"/>
          <w:sz w:val="24"/>
          <w:szCs w:val="24"/>
        </w:rPr>
      </w:r>
    </w:p>
    <w:p>
      <w:pPr>
        <w:pStyle w:val="Normal"/>
        <w:rPr>
          <w:color w:val="999999"/>
          <w:sz w:val="24"/>
          <w:szCs w:val="24"/>
        </w:rPr>
      </w:pPr>
      <w:r>
        <w:rPr>
          <w:color w:val="999999"/>
          <w:sz w:val="24"/>
          <w:szCs w:val="24"/>
        </w:rPr>
      </w:r>
    </w:p>
    <w:p>
      <w:pPr>
        <w:pStyle w:val="Normal"/>
        <w:widowControl/>
        <w:bidi w:val="0"/>
        <w:spacing w:before="0" w:after="200"/>
        <w:ind w:left="1077" w:right="0" w:hanging="0"/>
        <w:jc w:val="left"/>
        <w:rPr/>
      </w:pPr>
      <w:bookmarkStart w:id="0" w:name="_gjdgxs1"/>
      <w:bookmarkEnd w:id="0"/>
      <w:r>
        <w:rPr>
          <w:color w:val="999999"/>
          <w:sz w:val="24"/>
          <w:szCs w:val="24"/>
        </w:rPr>
        <w:t>Клинические рекомендации</w:t>
      </w:r>
      <w:r>
        <w:rPr>
          <w:sz w:val="24"/>
          <w:szCs w:val="24"/>
        </w:rPr>
        <w:t xml:space="preserve"> </w:t>
      </w:r>
    </w:p>
    <w:p>
      <w:pPr>
        <w:pStyle w:val="Normal"/>
        <w:widowControl/>
        <w:bidi w:val="0"/>
        <w:spacing w:lineRule="auto" w:line="360" w:before="0" w:after="200"/>
        <w:ind w:left="1077" w:right="0" w:hanging="0"/>
        <w:jc w:val="both"/>
        <w:rPr>
          <w:rFonts w:eastAsia="Times New Roman"/>
          <w:b/>
          <w:b/>
          <w:sz w:val="36"/>
          <w:szCs w:val="36"/>
        </w:rPr>
      </w:pPr>
      <w:r>
        <w:rPr>
          <w:rFonts w:eastAsia="Times New Roman"/>
          <w:b/>
          <w:sz w:val="36"/>
          <w:szCs w:val="36"/>
        </w:rPr>
        <w:t>Другие кисты челюстей (аневризмальная киста, единая костная киста)</w:t>
      </w:r>
    </w:p>
    <w:p>
      <w:pPr>
        <w:pStyle w:val="Normal"/>
        <w:spacing w:lineRule="auto" w:line="360"/>
        <w:jc w:val="both"/>
        <w:rPr>
          <w:rFonts w:eastAsia="Times New Roman"/>
          <w:color w:val="999999"/>
          <w:sz w:val="24"/>
          <w:szCs w:val="24"/>
        </w:rPr>
      </w:pPr>
      <w:r>
        <w:rPr>
          <w:rFonts w:eastAsia="Times New Roman"/>
          <w:color w:val="999999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eastAsia="Times New Roman"/>
          <w:color w:val="999999"/>
          <w:sz w:val="24"/>
          <w:szCs w:val="24"/>
        </w:rPr>
      </w:pPr>
      <w:r>
        <w:rPr>
          <w:rFonts w:eastAsia="Times New Roman"/>
          <w:color w:val="999999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eastAsia="Times New Roman"/>
          <w:color w:val="999999"/>
          <w:sz w:val="24"/>
          <w:szCs w:val="24"/>
        </w:rPr>
      </w:pPr>
      <w:r>
        <w:rPr>
          <w:rFonts w:eastAsia="Times New Roman"/>
          <w:color w:val="999999"/>
          <w:sz w:val="24"/>
          <w:szCs w:val="24"/>
        </w:rPr>
      </w:r>
    </w:p>
    <w:p>
      <w:pPr>
        <w:pStyle w:val="Normal"/>
        <w:widowControl/>
        <w:bidi w:val="0"/>
        <w:spacing w:lineRule="auto" w:line="360" w:before="0" w:after="200"/>
        <w:ind w:left="0" w:right="5329" w:hanging="0"/>
        <w:jc w:val="right"/>
        <w:rPr/>
      </w:pPr>
      <w:r>
        <w:rPr>
          <w:rFonts w:eastAsia="Times New Roman"/>
          <w:color w:val="999999"/>
          <w:sz w:val="24"/>
          <w:szCs w:val="24"/>
        </w:rPr>
        <w:t>Кодирование по Международной статистической классификации болезней и проблем, связанных со здоровьем:</w:t>
      </w:r>
      <w:r>
        <w:rPr>
          <w:rFonts w:eastAsia="Times New Roman"/>
          <w:sz w:val="24"/>
          <w:szCs w:val="24"/>
        </w:rPr>
        <w:t xml:space="preserve"> К09.2, К09.20, К09.21</w:t>
      </w:r>
    </w:p>
    <w:p>
      <w:pPr>
        <w:pStyle w:val="Normal"/>
        <w:widowControl/>
        <w:bidi w:val="0"/>
        <w:spacing w:lineRule="auto" w:line="360" w:before="0" w:after="200"/>
        <w:ind w:left="0" w:right="5329" w:hanging="0"/>
        <w:jc w:val="right"/>
        <w:rPr/>
      </w:pPr>
      <w:r>
        <w:rPr>
          <w:rFonts w:eastAsia="Times New Roman"/>
          <w:color w:val="999999"/>
          <w:sz w:val="24"/>
          <w:szCs w:val="24"/>
        </w:rPr>
        <w:t>Возрастная категория:</w:t>
      </w:r>
      <w:r>
        <w:rPr>
          <w:rFonts w:eastAsia="Times New Roman"/>
          <w:sz w:val="24"/>
          <w:szCs w:val="24"/>
        </w:rPr>
        <w:t xml:space="preserve"> дети</w:t>
      </w:r>
    </w:p>
    <w:p>
      <w:pPr>
        <w:pStyle w:val="Normal"/>
        <w:widowControl/>
        <w:bidi w:val="0"/>
        <w:spacing w:lineRule="auto" w:line="360" w:before="0" w:after="200"/>
        <w:ind w:left="0" w:right="5329" w:hanging="0"/>
        <w:jc w:val="right"/>
        <w:rPr/>
      </w:pPr>
      <w:r>
        <w:rPr>
          <w:rFonts w:eastAsia="Times New Roman"/>
          <w:color w:val="999999"/>
          <w:sz w:val="24"/>
          <w:szCs w:val="24"/>
        </w:rPr>
        <w:t>Год утверждения:</w:t>
      </w:r>
      <w:r>
        <w:rPr>
          <w:rFonts w:eastAsia="Times New Roman"/>
          <w:sz w:val="24"/>
          <w:szCs w:val="24"/>
        </w:rPr>
        <w:t xml:space="preserve">  </w:t>
      </w:r>
    </w:p>
    <w:p>
      <w:pPr>
        <w:pStyle w:val="Normal"/>
        <w:spacing w:lineRule="auto" w:line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spacing w:lineRule="auto" w:line="360"/>
        <w:jc w:val="both"/>
        <w:rPr/>
      </w:pPr>
      <w:r>
        <w:rPr>
          <w:rFonts w:eastAsia="Times New Roman" w:cs="Times New Roman"/>
          <w:color w:val="999999"/>
          <w:kern w:val="0"/>
          <w:sz w:val="24"/>
          <w:szCs w:val="24"/>
          <w:lang w:val="ru-RU" w:eastAsia="ru-RU" w:bidi="ar-SA"/>
        </w:rPr>
        <w:t>Р</w:t>
      </w:r>
      <w:r>
        <w:rPr>
          <w:rFonts w:eastAsia="Times New Roman"/>
          <w:color w:val="999999"/>
          <w:sz w:val="24"/>
          <w:szCs w:val="24"/>
        </w:rPr>
        <w:t>азработчик клинической рекомендации:</w:t>
      </w:r>
    </w:p>
    <w:p>
      <w:pPr>
        <w:pStyle w:val="Normal"/>
        <w:numPr>
          <w:ilvl w:val="0"/>
          <w:numId w:val="2"/>
        </w:numPr>
        <w:spacing w:lineRule="auto" w:line="360"/>
        <w:ind w:left="0" w:firstLine="708"/>
        <w:jc w:val="both"/>
        <w:rPr>
          <w:rFonts w:eastAsia="Times New Roman"/>
          <w:color w:val="262626"/>
          <w:sz w:val="24"/>
          <w:szCs w:val="24"/>
        </w:rPr>
      </w:pPr>
      <w:r>
        <w:rPr>
          <w:rFonts w:eastAsia="Times New Roman"/>
          <w:color w:val="262626"/>
          <w:sz w:val="24"/>
          <w:szCs w:val="24"/>
        </w:rPr>
        <w:t>Стоматологическая ассоциация России</w:t>
      </w:r>
    </w:p>
    <w:p>
      <w:pPr>
        <w:pStyle w:val="Normal"/>
        <w:spacing w:lineRule="auto" w:line="360"/>
        <w:jc w:val="both"/>
        <w:rPr>
          <w:rFonts w:eastAsia="Times New Roman"/>
          <w:color w:val="262626"/>
          <w:sz w:val="24"/>
          <w:szCs w:val="24"/>
        </w:rPr>
      </w:pPr>
      <w:r>
        <w:rPr>
          <w:rFonts w:eastAsia="Times New Roman"/>
          <w:color w:val="262626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eastAsia="Times New Roman"/>
          <w:color w:val="262626"/>
          <w:sz w:val="24"/>
          <w:szCs w:val="24"/>
        </w:rPr>
      </w:pPr>
      <w:r>
        <w:rPr>
          <w:rFonts w:eastAsia="Times New Roman"/>
          <w:color w:val="262626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eastAsia="Times New Roman"/>
          <w:color w:val="262626"/>
          <w:sz w:val="24"/>
          <w:szCs w:val="24"/>
        </w:rPr>
      </w:pPr>
      <w:r>
        <w:rPr>
          <w:rFonts w:eastAsia="Times New Roman"/>
          <w:color w:val="262626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eastAsia="Times New Roman"/>
          <w:color w:val="262626"/>
          <w:sz w:val="24"/>
          <w:szCs w:val="24"/>
        </w:rPr>
      </w:pPr>
      <w:r>
        <w:rPr>
          <w:rFonts w:eastAsia="Times New Roman"/>
          <w:color w:val="262626"/>
          <w:sz w:val="24"/>
          <w:szCs w:val="24"/>
        </w:rPr>
      </w:r>
      <w:bookmarkStart w:id="1" w:name="_4chu7dplny7v"/>
      <w:bookmarkStart w:id="2" w:name="_4chu7dplny7v"/>
      <w:bookmarkEnd w:id="2"/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Style23"/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Оглавление</w:t>
          </w:r>
        </w:p>
        <w:p>
          <w:pPr>
            <w:pStyle w:val="11"/>
            <w:tabs>
              <w:tab w:val="clear" w:pos="720"/>
              <w:tab w:val="right" w:pos="9346" w:leader="dot"/>
            </w:tabs>
            <w:rPr/>
          </w:pPr>
          <w:r>
            <w:fldChar w:fldCharType="begin"/>
          </w:r>
          <w:r>
            <w:rPr/>
            <w:instrText> TOC \o "1-2" \h</w:instrText>
          </w:r>
          <w:r>
            <w:rPr/>
            <w:fldChar w:fldCharType="separate"/>
          </w:r>
          <w:hyperlink w:anchor="__RefHeading___Toc4995_2511029755">
            <w:r>
              <w:rPr/>
              <w:t>Список сокращений</w:t>
              <w:tab/>
              <w:t>3</w:t>
            </w:r>
          </w:hyperlink>
        </w:p>
        <w:p>
          <w:pPr>
            <w:pStyle w:val="11"/>
            <w:tabs>
              <w:tab w:val="clear" w:pos="720"/>
              <w:tab w:val="right" w:pos="9346" w:leader="dot"/>
            </w:tabs>
            <w:rPr/>
          </w:pPr>
          <w:hyperlink w:anchor="__RefHeading___Toc4997_2511029755">
            <w:r>
              <w:rPr/>
              <w:t>Термины и определения</w:t>
              <w:tab/>
              <w:t>4</w:t>
            </w:r>
          </w:hyperlink>
        </w:p>
        <w:p>
          <w:pPr>
            <w:pStyle w:val="11"/>
            <w:tabs>
              <w:tab w:val="clear" w:pos="720"/>
              <w:tab w:val="right" w:pos="9346" w:leader="dot"/>
            </w:tabs>
            <w:rPr/>
          </w:pPr>
          <w:hyperlink w:anchor="__RefHeading___Toc4999_2511029755">
            <w:r>
              <w:rPr/>
              <w:t>1. Краткая информация по заболеванию или состоянию</w:t>
              <w:tab/>
              <w:t>4</w:t>
            </w:r>
          </w:hyperlink>
        </w:p>
        <w:p>
          <w:pPr>
            <w:pStyle w:val="21"/>
            <w:tabs>
              <w:tab w:val="clear" w:pos="720"/>
              <w:tab w:val="right" w:pos="9346" w:leader="dot"/>
            </w:tabs>
            <w:rPr/>
          </w:pPr>
          <w:hyperlink w:anchor="__RefHeading___Toc5001_2511029755">
            <w:r>
              <w:rPr/>
              <w:t>1.1 Определение заболевания или состояния</w:t>
              <w:tab/>
              <w:t>4</w:t>
            </w:r>
          </w:hyperlink>
        </w:p>
        <w:p>
          <w:pPr>
            <w:pStyle w:val="21"/>
            <w:tabs>
              <w:tab w:val="clear" w:pos="720"/>
              <w:tab w:val="right" w:pos="9346" w:leader="dot"/>
            </w:tabs>
            <w:rPr/>
          </w:pPr>
          <w:hyperlink w:anchor="__RefHeading___Toc5003_2511029755">
            <w:r>
              <w:rPr/>
              <w:t>1.2 Этиология и патогенез заболевания или состояния</w:t>
              <w:tab/>
              <w:t>4</w:t>
            </w:r>
          </w:hyperlink>
        </w:p>
        <w:p>
          <w:pPr>
            <w:pStyle w:val="21"/>
            <w:tabs>
              <w:tab w:val="clear" w:pos="720"/>
              <w:tab w:val="right" w:pos="9346" w:leader="dot"/>
            </w:tabs>
            <w:rPr/>
          </w:pPr>
          <w:hyperlink w:anchor="__RefHeading___Toc5007_2511029755">
            <w:r>
              <w:rPr/>
              <w:t>1.3 Особенности кодирования заболевания или состояния по Международной статистической классификации болезней и проблем, связанных со здоровьем</w:t>
              <w:tab/>
              <w:t>5</w:t>
            </w:r>
          </w:hyperlink>
        </w:p>
        <w:p>
          <w:pPr>
            <w:pStyle w:val="21"/>
            <w:tabs>
              <w:tab w:val="clear" w:pos="720"/>
              <w:tab w:val="right" w:pos="9346" w:leader="dot"/>
            </w:tabs>
            <w:rPr/>
          </w:pPr>
          <w:hyperlink w:anchor="__RefHeading___Toc5009_2511029755">
            <w:r>
              <w:rPr/>
              <w:t>1.4 Клиническая картина заболевания или состояния</w:t>
              <w:tab/>
              <w:t>5</w:t>
            </w:r>
          </w:hyperlink>
        </w:p>
        <w:p>
          <w:pPr>
            <w:pStyle w:val="11"/>
            <w:tabs>
              <w:tab w:val="clear" w:pos="720"/>
              <w:tab w:val="right" w:pos="9346" w:leader="dot"/>
            </w:tabs>
            <w:rPr/>
          </w:pPr>
          <w:hyperlink w:anchor="__RefHeading___Toc5011_2511029755">
            <w:r>
              <w:rPr/>
              <w:t xml:space="preserve"> </w:t>
            </w:r>
            <w:r>
              <w:rPr/>
              <w:t>2. Диагностика заболевания или состояния, медицинские показания и противопоказания к применению методов диагностики</w:t>
              <w:tab/>
              <w:t>5</w:t>
            </w:r>
          </w:hyperlink>
        </w:p>
        <w:p>
          <w:pPr>
            <w:pStyle w:val="21"/>
            <w:tabs>
              <w:tab w:val="clear" w:pos="720"/>
              <w:tab w:val="right" w:pos="9346" w:leader="dot"/>
            </w:tabs>
            <w:rPr/>
          </w:pPr>
          <w:hyperlink w:anchor="__RefHeading___Toc5013_2511029755">
            <w:r>
              <w:rPr/>
              <w:t>2.1 Жалобы и анамнез</w:t>
              <w:tab/>
              <w:t>6</w:t>
            </w:r>
          </w:hyperlink>
        </w:p>
        <w:p>
          <w:pPr>
            <w:pStyle w:val="21"/>
            <w:tabs>
              <w:tab w:val="clear" w:pos="720"/>
              <w:tab w:val="right" w:pos="9346" w:leader="dot"/>
            </w:tabs>
            <w:rPr/>
          </w:pPr>
          <w:hyperlink w:anchor="__RefHeading___Toc5017_2511029755">
            <w:r>
              <w:rPr/>
              <w:t>2.2 Физикальное обследование</w:t>
              <w:tab/>
              <w:t>6</w:t>
            </w:r>
          </w:hyperlink>
        </w:p>
        <w:p>
          <w:pPr>
            <w:pStyle w:val="21"/>
            <w:tabs>
              <w:tab w:val="clear" w:pos="720"/>
              <w:tab w:val="right" w:pos="9346" w:leader="dot"/>
            </w:tabs>
            <w:rPr/>
          </w:pPr>
          <w:hyperlink w:anchor="__RefHeading___Toc5019_2511029755">
            <w:r>
              <w:rPr/>
              <w:t>2.3 Лабораторная диагностические исследования</w:t>
              <w:tab/>
              <w:t>7</w:t>
            </w:r>
          </w:hyperlink>
        </w:p>
        <w:p>
          <w:pPr>
            <w:pStyle w:val="21"/>
            <w:tabs>
              <w:tab w:val="clear" w:pos="720"/>
              <w:tab w:val="right" w:pos="9346" w:leader="dot"/>
            </w:tabs>
            <w:rPr/>
          </w:pPr>
          <w:hyperlink w:anchor="__RefHeading___Toc5021_2511029755">
            <w:r>
              <w:rPr/>
              <w:t>2.4 Инструментальные диагностические исследования</w:t>
              <w:tab/>
              <w:t>7</w:t>
            </w:r>
          </w:hyperlink>
        </w:p>
        <w:p>
          <w:pPr>
            <w:pStyle w:val="21"/>
            <w:tabs>
              <w:tab w:val="clear" w:pos="720"/>
              <w:tab w:val="right" w:pos="9346" w:leader="dot"/>
            </w:tabs>
            <w:rPr/>
          </w:pPr>
          <w:hyperlink w:anchor="__RefHeading___Toc5023_2511029755">
            <w:r>
              <w:rPr/>
              <w:t>2.5 Иные диагностические исследования</w:t>
              <w:tab/>
              <w:t>7</w:t>
            </w:r>
          </w:hyperlink>
        </w:p>
        <w:p>
          <w:pPr>
            <w:pStyle w:val="11"/>
            <w:tabs>
              <w:tab w:val="clear" w:pos="720"/>
              <w:tab w:val="right" w:pos="9346" w:leader="dot"/>
            </w:tabs>
            <w:rPr/>
          </w:pPr>
          <w:hyperlink w:anchor="__RefHeading___Toc5027_2511029755">
            <w:r>
              <w:rPr/>
              <w:t>3. Лечение, включая медикаментозную и не медикаментозную терапии, диетотерапию, обезболивание, медицинские показания и противопоказания к применению методов лечения</w:t>
              <w:tab/>
              <w:t>8</w:t>
            </w:r>
          </w:hyperlink>
        </w:p>
        <w:p>
          <w:pPr>
            <w:pStyle w:val="21"/>
            <w:tabs>
              <w:tab w:val="clear" w:pos="720"/>
              <w:tab w:val="right" w:pos="9346" w:leader="dot"/>
            </w:tabs>
            <w:rPr/>
          </w:pPr>
          <w:hyperlink w:anchor="__RefHeading___Toc5029_2511029755">
            <w:r>
              <w:rPr/>
              <w:t>3.1 Консервативное лечение</w:t>
              <w:tab/>
              <w:t>8</w:t>
            </w:r>
          </w:hyperlink>
        </w:p>
        <w:p>
          <w:pPr>
            <w:pStyle w:val="21"/>
            <w:tabs>
              <w:tab w:val="clear" w:pos="720"/>
              <w:tab w:val="right" w:pos="9346" w:leader="dot"/>
            </w:tabs>
            <w:rPr/>
          </w:pPr>
          <w:hyperlink w:anchor="__RefHeading___Toc5031_2511029755">
            <w:r>
              <w:rPr/>
              <w:t>3.2 Хирургическое лечение</w:t>
              <w:tab/>
              <w:t>8</w:t>
            </w:r>
          </w:hyperlink>
        </w:p>
        <w:p>
          <w:pPr>
            <w:pStyle w:val="11"/>
            <w:tabs>
              <w:tab w:val="clear" w:pos="720"/>
              <w:tab w:val="right" w:pos="9346" w:leader="dot"/>
            </w:tabs>
            <w:rPr/>
          </w:pPr>
          <w:hyperlink w:anchor="__RefHeading___Toc5037_2511029755">
            <w:r>
              <w:rPr/>
              <w:t>4. Медицинская реабилитация, медицинские показания и противопоказания к применению методов реабилитации</w:t>
              <w:tab/>
              <w:t>9</w:t>
            </w:r>
          </w:hyperlink>
        </w:p>
        <w:p>
          <w:pPr>
            <w:pStyle w:val="11"/>
            <w:tabs>
              <w:tab w:val="clear" w:pos="720"/>
              <w:tab w:val="right" w:pos="9346" w:leader="dot"/>
            </w:tabs>
            <w:rPr/>
          </w:pPr>
          <w:hyperlink w:anchor="__RefHeading___Toc5039_2511029755">
            <w:r>
              <w:rPr/>
              <w:t>5. Профилактика и диспансерное наблюдение, медицинские показания и противопоказания к применению методов профилактики</w:t>
              <w:tab/>
              <w:t>10</w:t>
            </w:r>
          </w:hyperlink>
        </w:p>
        <w:p>
          <w:pPr>
            <w:pStyle w:val="21"/>
            <w:tabs>
              <w:tab w:val="clear" w:pos="720"/>
              <w:tab w:val="right" w:pos="9346" w:leader="dot"/>
            </w:tabs>
            <w:rPr/>
          </w:pPr>
          <w:hyperlink w:anchor="__RefHeading___Toc5041_2511029755">
            <w:r>
              <w:rPr/>
              <w:t>5.1 Профилактика</w:t>
              <w:tab/>
              <w:t>10</w:t>
            </w:r>
          </w:hyperlink>
        </w:p>
        <w:p>
          <w:pPr>
            <w:pStyle w:val="21"/>
            <w:tabs>
              <w:tab w:val="clear" w:pos="720"/>
              <w:tab w:val="right" w:pos="9346" w:leader="dot"/>
            </w:tabs>
            <w:rPr/>
          </w:pPr>
          <w:hyperlink w:anchor="__RefHeading___Toc5043_2511029755">
            <w:r>
              <w:rPr/>
              <w:t>5.2 Диспансеризация</w:t>
              <w:tab/>
              <w:t>10</w:t>
            </w:r>
          </w:hyperlink>
        </w:p>
        <w:p>
          <w:pPr>
            <w:pStyle w:val="11"/>
            <w:tabs>
              <w:tab w:val="clear" w:pos="720"/>
              <w:tab w:val="right" w:pos="9346" w:leader="dot"/>
            </w:tabs>
            <w:rPr/>
          </w:pPr>
          <w:hyperlink w:anchor="__RefHeading___Toc5045_2511029755">
            <w:r>
              <w:rPr/>
              <w:t>6. Организация оказания медицинской помощи</w:t>
              <w:tab/>
              <w:t>10</w:t>
            </w:r>
          </w:hyperlink>
        </w:p>
        <w:p>
          <w:pPr>
            <w:pStyle w:val="11"/>
            <w:tabs>
              <w:tab w:val="clear" w:pos="720"/>
              <w:tab w:val="right" w:pos="9346" w:leader="dot"/>
            </w:tabs>
            <w:rPr/>
          </w:pPr>
          <w:hyperlink w:anchor="__RefHeading___Toc5047_2511029755">
            <w:r>
              <w:rPr/>
              <w:t>7. Дополнительная информация ( в том числе факторы, влияющие на исход заболевания или состояния)</w:t>
              <w:tab/>
              <w:t>11</w:t>
            </w:r>
          </w:hyperlink>
        </w:p>
        <w:p>
          <w:pPr>
            <w:pStyle w:val="11"/>
            <w:tabs>
              <w:tab w:val="clear" w:pos="720"/>
              <w:tab w:val="right" w:pos="9346" w:leader="dot"/>
            </w:tabs>
            <w:rPr/>
          </w:pPr>
          <w:hyperlink w:anchor="__RefHeading___Toc5049_2511029755">
            <w:r>
              <w:rPr/>
              <w:t>Критерии оценки качества медицинской помощи</w:t>
              <w:tab/>
              <w:t>11</w:t>
            </w:r>
          </w:hyperlink>
        </w:p>
        <w:p>
          <w:pPr>
            <w:pStyle w:val="11"/>
            <w:tabs>
              <w:tab w:val="clear" w:pos="720"/>
              <w:tab w:val="right" w:pos="9346" w:leader="dot"/>
            </w:tabs>
            <w:rPr/>
          </w:pPr>
          <w:hyperlink w:anchor="__RefHeading___Toc5051_2511029755">
            <w:r>
              <w:rPr/>
              <w:t>Список литературы</w:t>
              <w:tab/>
              <w:t>13</w:t>
            </w:r>
          </w:hyperlink>
        </w:p>
        <w:p>
          <w:pPr>
            <w:pStyle w:val="11"/>
            <w:tabs>
              <w:tab w:val="clear" w:pos="720"/>
              <w:tab w:val="right" w:pos="9346" w:leader="dot"/>
            </w:tabs>
            <w:rPr/>
          </w:pPr>
          <w:hyperlink w:anchor="__RefHeading___Toc5053_2511029755">
            <w:r>
              <w:rPr/>
              <w:t>Приложение А1. Состав рабочей группы по разработке и пересмотру клинических рекомендаций</w:t>
              <w:tab/>
              <w:t>15</w:t>
            </w:r>
          </w:hyperlink>
        </w:p>
        <w:p>
          <w:pPr>
            <w:pStyle w:val="11"/>
            <w:tabs>
              <w:tab w:val="clear" w:pos="720"/>
              <w:tab w:val="right" w:pos="9346" w:leader="dot"/>
            </w:tabs>
            <w:rPr/>
          </w:pPr>
          <w:hyperlink w:anchor="__RefHeading___Toc5055_2511029755">
            <w:r>
              <w:rPr/>
              <w:t>Приложение А2. Методология разработки клинических рекомендаций</w:t>
              <w:tab/>
              <w:t>16</w:t>
            </w:r>
          </w:hyperlink>
        </w:p>
        <w:p>
          <w:pPr>
            <w:pStyle w:val="11"/>
            <w:tabs>
              <w:tab w:val="clear" w:pos="720"/>
              <w:tab w:val="right" w:pos="9346" w:leader="dot"/>
            </w:tabs>
            <w:rPr/>
          </w:pPr>
          <w:hyperlink w:anchor="__RefHeading___Toc5057_2511029755">
            <w:r>
              <w:rPr/>
              <w:t>Приложение Б. Алгоритмы действий врача</w:t>
              <w:tab/>
              <w:t>18</w:t>
            </w:r>
          </w:hyperlink>
        </w:p>
        <w:p>
          <w:pPr>
            <w:pStyle w:val="11"/>
            <w:tabs>
              <w:tab w:val="clear" w:pos="720"/>
              <w:tab w:val="right" w:pos="9346" w:leader="dot"/>
            </w:tabs>
            <w:rPr/>
          </w:pPr>
          <w:hyperlink w:anchor="__RefHeading___Toc5059_2511029755">
            <w:r>
              <w:rPr/>
              <w:t>Приложение В Информация для пациента</w:t>
              <w:tab/>
              <w:t>19</w:t>
            </w:r>
          </w:hyperlink>
          <w:r>
            <w:rPr/>
            <w:fldChar w:fldCharType="end"/>
          </w:r>
        </w:p>
      </w:sdtContent>
    </w:sdt>
    <w:p>
      <w:pPr>
        <w:pStyle w:val="Normal"/>
        <w:spacing w:lineRule="auto" w:line="360"/>
        <w:jc w:val="both"/>
        <w:rPr>
          <w:rFonts w:eastAsia="Times New Roman"/>
          <w:color w:val="262626"/>
          <w:sz w:val="24"/>
          <w:szCs w:val="24"/>
        </w:rPr>
      </w:pPr>
      <w:r>
        <w:rPr>
          <w:rFonts w:eastAsia="Times New Roman"/>
          <w:color w:val="262626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eastAsia="Times New Roman"/>
          <w:color w:val="262626"/>
          <w:sz w:val="24"/>
          <w:szCs w:val="24"/>
        </w:rPr>
      </w:pPr>
      <w:r>
        <w:rPr>
          <w:rFonts w:eastAsia="Times New Roman"/>
          <w:color w:val="262626"/>
          <w:sz w:val="24"/>
          <w:szCs w:val="24"/>
        </w:rPr>
      </w:r>
    </w:p>
    <w:p>
      <w:pPr>
        <w:pStyle w:val="1"/>
        <w:rPr>
          <w:color w:val="000000"/>
        </w:rPr>
      </w:pPr>
      <w:bookmarkStart w:id="3" w:name="__RefHeading___Toc4995_2511029755"/>
      <w:bookmarkStart w:id="4" w:name="_Toc49964322"/>
      <w:bookmarkStart w:id="5" w:name="_30j0zll"/>
      <w:bookmarkEnd w:id="3"/>
      <w:bookmarkEnd w:id="5"/>
      <w:r>
        <w:rPr>
          <w:color w:val="000000"/>
        </w:rPr>
        <w:t>Список сокращений</w:t>
      </w:r>
      <w:bookmarkEnd w:id="4"/>
    </w:p>
    <w:p>
      <w:pPr>
        <w:pStyle w:val="Normal"/>
        <w:spacing w:lineRule="auto" w:line="360" w:before="0" w:after="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МКБ 10 - международная классификация болезней 10-го пересмотра</w:t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МКБ-С - Международная классификация стоматологических болезней на основе МКБ-10.</w:t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ЗЧС - зубочелюстная система</w:t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ЗЧА - зубочелюстные аномалии</w:t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 xml:space="preserve">ЦНС - центральная нервная система </w:t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ЗЗ - зачаток зуба</w:t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ЭОД - электроодонтодиагностика</w:t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1"/>
        <w:spacing w:before="0" w:after="0"/>
        <w:rPr/>
      </w:pPr>
      <w:r>
        <w:rPr/>
      </w:r>
      <w:bookmarkStart w:id="6" w:name="_y5c5lypeh6al"/>
      <w:bookmarkStart w:id="7" w:name="_y5c5lypeh6al"/>
      <w:bookmarkEnd w:id="7"/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1"/>
        <w:spacing w:before="0" w:after="0"/>
        <w:rPr/>
      </w:pPr>
      <w:bookmarkStart w:id="8" w:name="__RefHeading___Toc4997_2511029755"/>
      <w:bookmarkStart w:id="9" w:name="_Toc49964323"/>
      <w:bookmarkStart w:id="10" w:name="_5ijqzbjnz5ke"/>
      <w:bookmarkEnd w:id="8"/>
      <w:bookmarkEnd w:id="10"/>
      <w:r>
        <w:rPr>
          <w:color w:val="000000"/>
        </w:rPr>
        <w:t>Термины и определения</w:t>
      </w:r>
      <w:bookmarkEnd w:id="9"/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widowControl w:val="false"/>
        <w:spacing w:lineRule="auto" w:line="360" w:before="0" w:after="0"/>
        <w:ind w:firstLine="708"/>
        <w:jc w:val="both"/>
        <w:rPr>
          <w:rFonts w:eastAsia="Times New Roman"/>
          <w:sz w:val="24"/>
          <w:szCs w:val="24"/>
          <w:highlight w:val="white"/>
        </w:rPr>
      </w:pPr>
      <w:r>
        <w:rPr>
          <w:rFonts w:eastAsia="Times New Roman"/>
          <w:b/>
          <w:sz w:val="24"/>
          <w:szCs w:val="24"/>
          <w:highlight w:val="white"/>
        </w:rPr>
        <w:t xml:space="preserve">Киста - </w:t>
      </w:r>
      <w:r>
        <w:rPr>
          <w:rFonts w:eastAsia="Times New Roman"/>
          <w:sz w:val="24"/>
          <w:szCs w:val="24"/>
          <w:highlight w:val="white"/>
        </w:rPr>
        <w:t>опухолеподобное, полостное, доброкачественного характера образование, локализующееся в костных или мягких тканях, имеющее жидкое или полужидкое содержимое. Внутренняя поверхность оболочки кисты выстлана многослойным плоским эпителием, снаружи покрыта слоем фиброзной, соединительной ткани.</w:t>
      </w:r>
    </w:p>
    <w:p>
      <w:pPr>
        <w:pStyle w:val="Normal"/>
        <w:widowControl w:val="false"/>
        <w:spacing w:lineRule="auto" w:line="360" w:before="0" w:after="0"/>
        <w:ind w:firstLine="708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>Неэпителиальная киста -</w:t>
      </w:r>
      <w:r>
        <w:rPr>
          <w:rFonts w:eastAsia="Times New Roman"/>
          <w:color w:val="00000A"/>
          <w:sz w:val="24"/>
          <w:szCs w:val="24"/>
        </w:rPr>
        <w:t xml:space="preserve"> ненеопластическое костное поражение.</w:t>
      </w:r>
    </w:p>
    <w:p>
      <w:pPr>
        <w:pStyle w:val="Normal"/>
        <w:widowControl w:val="false"/>
        <w:spacing w:lineRule="auto" w:line="360" w:before="0" w:after="0"/>
        <w:ind w:firstLine="708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>Аневризмальная киста (единая костная киста, солитарная костная киста, однокамерная костная киста) -</w:t>
      </w:r>
      <w:r>
        <w:rPr>
          <w:rFonts w:eastAsia="Times New Roman"/>
          <w:color w:val="00000A"/>
          <w:sz w:val="24"/>
          <w:szCs w:val="24"/>
        </w:rPr>
        <w:t xml:space="preserve">  киста, расположенная на нижней челюсти в области интактных зубов, характеризуется быстрым нарастанием деформации, выбухающей в вестибулярную сторону.</w:t>
      </w:r>
    </w:p>
    <w:p>
      <w:pPr>
        <w:pStyle w:val="Normal"/>
        <w:widowControl w:val="false"/>
        <w:spacing w:lineRule="auto" w:line="360" w:before="0" w:after="0"/>
        <w:ind w:firstLine="708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>Травматическая киста (простая костная киста, геморрагическая киста, безоболочечная киста)</w:t>
      </w:r>
      <w:r>
        <w:rPr>
          <w:rFonts w:eastAsia="Times New Roman"/>
          <w:color w:val="00000A"/>
          <w:sz w:val="24"/>
          <w:szCs w:val="24"/>
        </w:rPr>
        <w:t xml:space="preserve"> - киста, расположенная на нижней челюсти в области интактных зубов, не сопровождается деформацией челюсти, встречается во время интенсивного роста скелета.</w:t>
      </w:r>
    </w:p>
    <w:p>
      <w:pPr>
        <w:pStyle w:val="Normal"/>
        <w:widowControl w:val="false"/>
        <w:spacing w:lineRule="auto" w:line="360" w:before="0" w:after="0"/>
        <w:jc w:val="both"/>
        <w:rPr/>
      </w:pPr>
      <w:r>
        <w:rPr/>
      </w:r>
    </w:p>
    <w:p>
      <w:pPr>
        <w:pStyle w:val="1"/>
        <w:rPr>
          <w:color w:val="000000"/>
        </w:rPr>
      </w:pPr>
      <w:bookmarkStart w:id="11" w:name="__RefHeading___Toc4999_2511029755"/>
      <w:bookmarkStart w:id="12" w:name="_Toc49964324"/>
      <w:bookmarkStart w:id="13" w:name="_8v07nmkevuw"/>
      <w:bookmarkEnd w:id="11"/>
      <w:bookmarkEnd w:id="13"/>
      <w:r>
        <w:rPr>
          <w:color w:val="000000"/>
        </w:rPr>
        <w:t>1. Краткая информация</w:t>
      </w:r>
      <w:bookmarkEnd w:id="12"/>
      <w:r>
        <w:rPr>
          <w:color w:val="000000"/>
        </w:rPr>
        <w:t xml:space="preserve"> по заболеванию или состоянию</w:t>
      </w:r>
    </w:p>
    <w:p>
      <w:pPr>
        <w:pStyle w:val="2"/>
        <w:ind w:hanging="0"/>
        <w:rPr/>
      </w:pPr>
      <w:bookmarkStart w:id="14" w:name="__RefHeading___Toc5001_2511029755"/>
      <w:bookmarkStart w:id="15" w:name="_Toc49964325"/>
      <w:bookmarkStart w:id="16" w:name="_1fob9te"/>
      <w:bookmarkEnd w:id="14"/>
      <w:bookmarkEnd w:id="16"/>
      <w:r>
        <w:rPr/>
        <w:t>1.1 Определение</w:t>
      </w:r>
      <w:bookmarkEnd w:id="15"/>
      <w:r>
        <w:rPr/>
        <w:t xml:space="preserve"> заболевания или состояния</w:t>
      </w:r>
    </w:p>
    <w:p>
      <w:pPr>
        <w:pStyle w:val="Normal"/>
        <w:widowControl w:val="false"/>
        <w:spacing w:lineRule="auto" w:line="360" w:before="0" w:after="0"/>
        <w:ind w:firstLine="708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>Аневризмальная киста (единая костная киста, солитарная костная киста, однокамерная костная киста) -</w:t>
      </w:r>
      <w:r>
        <w:rPr>
          <w:rFonts w:eastAsia="Times New Roman"/>
          <w:color w:val="00000A"/>
          <w:sz w:val="24"/>
          <w:szCs w:val="24"/>
        </w:rPr>
        <w:t xml:space="preserve">  киста, расположенная на нижней челюсти в области интактных зубов, характеризуется быстрым нарастанием деформации, выбухающей в вестибулярную сторону. </w:t>
      </w:r>
      <w:r>
        <w:rPr>
          <w:rFonts w:eastAsia="Times New Roman"/>
          <w:color w:val="000000"/>
          <w:sz w:val="24"/>
          <w:szCs w:val="24"/>
          <w:highlight w:val="white"/>
        </w:rPr>
        <w:t>[</w:t>
      </w:r>
      <w:r>
        <w:rPr>
          <w:rFonts w:eastAsia="Times New Roman"/>
          <w:color w:val="00000A"/>
          <w:sz w:val="24"/>
          <w:szCs w:val="24"/>
          <w:highlight w:val="white"/>
        </w:rPr>
        <w:t>3]</w:t>
      </w:r>
    </w:p>
    <w:p>
      <w:pPr>
        <w:pStyle w:val="Normal"/>
        <w:widowControl w:val="false"/>
        <w:spacing w:lineRule="auto" w:line="360" w:before="0" w:after="0"/>
        <w:ind w:firstLine="708"/>
        <w:jc w:val="both"/>
        <w:rPr>
          <w:rFonts w:eastAsia="Times New Roman"/>
          <w:color w:val="555555"/>
          <w:sz w:val="24"/>
          <w:szCs w:val="24"/>
          <w:highlight w:val="white"/>
        </w:rPr>
      </w:pPr>
      <w:r>
        <w:rPr>
          <w:rFonts w:eastAsia="Times New Roman"/>
          <w:b/>
          <w:color w:val="00000A"/>
          <w:sz w:val="24"/>
          <w:szCs w:val="24"/>
        </w:rPr>
        <w:t>Травматическая киста (простая костная киста, геморрагическая киста, безоболочечная киста)</w:t>
      </w:r>
      <w:r>
        <w:rPr>
          <w:rFonts w:eastAsia="Times New Roman"/>
          <w:color w:val="00000A"/>
          <w:sz w:val="24"/>
          <w:szCs w:val="24"/>
        </w:rPr>
        <w:t xml:space="preserve"> - киста, расположенная на нижней челюсти в области интактных зубов, не сопровождается деформацией челюсти, встречается во время интенсивного роста скелета. </w:t>
      </w:r>
      <w:r>
        <w:rPr>
          <w:rFonts w:eastAsia="Times New Roman"/>
          <w:color w:val="000000"/>
          <w:sz w:val="24"/>
          <w:szCs w:val="24"/>
          <w:highlight w:val="white"/>
        </w:rPr>
        <w:t>[</w:t>
      </w:r>
      <w:r>
        <w:rPr>
          <w:rFonts w:eastAsia="Times New Roman"/>
          <w:sz w:val="24"/>
          <w:szCs w:val="24"/>
          <w:highlight w:val="white"/>
        </w:rPr>
        <w:t>3]</w:t>
      </w:r>
    </w:p>
    <w:p>
      <w:pPr>
        <w:pStyle w:val="2"/>
        <w:ind w:hanging="0"/>
        <w:rPr/>
      </w:pPr>
      <w:bookmarkStart w:id="17" w:name="__RefHeading___Toc5003_2511029755"/>
      <w:bookmarkStart w:id="18" w:name="_Toc49964326"/>
      <w:bookmarkStart w:id="19" w:name="_3znysh7"/>
      <w:bookmarkEnd w:id="17"/>
      <w:bookmarkEnd w:id="19"/>
      <w:r>
        <w:rPr/>
        <w:t>1.2 Этиология и патогенез</w:t>
      </w:r>
      <w:bookmarkEnd w:id="18"/>
      <w:r>
        <w:rPr/>
        <w:t xml:space="preserve"> заболевания или состояния</w:t>
      </w:r>
    </w:p>
    <w:p>
      <w:pPr>
        <w:pStyle w:val="Normal"/>
        <w:spacing w:lineRule="auto" w:line="360" w:before="0" w:after="0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Аневризмальная киста – заболевание приобретенное. Формирование кисты происходит чаще всего в возрасте 12 - 15 лет. Полость кисты выстлана оболочкой из фиброзной ткани без эпителия, содержащей остеобласты и остеокластические клетки.</w:t>
      </w:r>
    </w:p>
    <w:p>
      <w:pPr>
        <w:pStyle w:val="Normal"/>
        <w:spacing w:lineRule="auto" w:line="360" w:before="0" w:after="0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Травматическая киста - заболевание приобретенное. Формирование кисты происходит в период интенсивного роста скелета в возрасте 12 - 14 лет. Киста не имеет оболочки и жидкостного содержимого, при этом костные трабекулы свободно располагаются в полости. В отдельных случаях киста выполнена геморрагическим содержимым</w:t>
      </w:r>
      <w:r>
        <w:rPr>
          <w:rFonts w:eastAsia="Times New Roman"/>
          <w:color w:val="00000A"/>
          <w:sz w:val="24"/>
          <w:szCs w:val="24"/>
        </w:rPr>
        <w:t xml:space="preserve">. </w:t>
      </w:r>
      <w:r>
        <w:rPr>
          <w:rFonts w:eastAsia="Times New Roman"/>
          <w:sz w:val="24"/>
          <w:szCs w:val="24"/>
        </w:rPr>
        <w:t>[1, 3]</w:t>
      </w:r>
    </w:p>
    <w:p>
      <w:pPr>
        <w:pStyle w:val="2"/>
        <w:ind w:hanging="0"/>
        <w:rPr/>
      </w:pPr>
      <w:bookmarkStart w:id="20" w:name="__RefHeading___Toc5007_2511029755"/>
      <w:bookmarkStart w:id="21" w:name="_Toc49964327"/>
      <w:bookmarkEnd w:id="20"/>
      <w:r>
        <w:rPr/>
        <w:t>1.</w:t>
      </w:r>
      <w:r>
        <w:rPr/>
        <w:t>3</w:t>
      </w:r>
      <w:r>
        <w:rPr/>
        <w:t xml:space="preserve"> Особенности кодирования заболевания или состояния по М</w:t>
      </w:r>
      <w:bookmarkEnd w:id="21"/>
      <w:r>
        <w:rPr/>
        <w:t>еждународной статистической классификации болезней и проблем, связанных со здоровьем</w:t>
      </w:r>
    </w:p>
    <w:p>
      <w:pPr>
        <w:pStyle w:val="Normal"/>
        <w:spacing w:lineRule="auto" w:line="360" w:before="0" w:after="0"/>
        <w:jc w:val="both"/>
        <w:rPr>
          <w:rFonts w:eastAsia="Times New Roman"/>
          <w:i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Международная классификация стоматологических болезней МКБ-10</w:t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К09.2 Другие кисты челюстей</w:t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К09.20 Аневризмальная костная киста</w:t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К09.21 Единая костная киста</w:t>
      </w:r>
    </w:p>
    <w:p>
      <w:pPr>
        <w:pStyle w:val="2"/>
        <w:ind w:hanging="0"/>
        <w:rPr/>
      </w:pPr>
      <w:bookmarkStart w:id="22" w:name="__RefHeading___Toc5009_2511029755"/>
      <w:bookmarkStart w:id="23" w:name="_Toc49964328"/>
      <w:bookmarkStart w:id="24" w:name="_1t3h5sf"/>
      <w:bookmarkEnd w:id="22"/>
      <w:bookmarkEnd w:id="24"/>
      <w:r>
        <w:rPr/>
        <w:t>1.</w:t>
      </w:r>
      <w:r>
        <w:rPr/>
        <w:t>4</w:t>
      </w:r>
      <w:r>
        <w:rPr/>
        <w:t xml:space="preserve"> Клиническая картина</w:t>
      </w:r>
      <w:bookmarkEnd w:id="23"/>
      <w:r>
        <w:rPr/>
        <w:t xml:space="preserve"> заболевания или состояния</w:t>
      </w:r>
    </w:p>
    <w:p>
      <w:pPr>
        <w:pStyle w:val="Normal"/>
        <w:spacing w:lineRule="auto" w:line="360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Первоначально аневризмальная киста развивается бессимптомно. Первыми признаками заболевания почти у половины больных служат жалобы на зубную боль. У другой половины больных новообразование обнаруживается случайно при рентгенографии, производимой с целью выявления другой патологии, и реже при жалобах на безболезненную деформацию кости. При пальпации патологического очага выраженная деформация челюсти в виде веретенообразного вздутия кости. В большинстве случаев отдельные участки опухоли податливы при надавливании. Истонченная кость, покрывающая опухоль, имеет гладковыпуклую, куполообразную форму. Слизистая оболочка не изменена, зубы могут быть подвижны.</w:t>
      </w:r>
    </w:p>
    <w:p>
      <w:pPr>
        <w:pStyle w:val="Normal"/>
        <w:spacing w:lineRule="auto" w:line="360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Первым симптомом травматической кисты является боль в интактных зубах, локализующихся в области кисты. Деформации тела нижней челюсти не отмечено. [1, 3]</w:t>
      </w:r>
    </w:p>
    <w:p>
      <w:pPr>
        <w:pStyle w:val="1"/>
        <w:spacing w:before="200" w:after="0"/>
        <w:jc w:val="center"/>
        <w:rPr/>
      </w:pPr>
      <w:bookmarkStart w:id="25" w:name="__RefHeading___Toc5011_2511029755"/>
      <w:bookmarkStart w:id="26" w:name="_mmb7z4k3nc0a"/>
      <w:bookmarkEnd w:id="25"/>
      <w:bookmarkEnd w:id="26"/>
      <w:r>
        <w:rPr/>
        <w:t xml:space="preserve"> </w:t>
      </w:r>
      <w:bookmarkStart w:id="27" w:name="_Toc49964329"/>
      <w:r>
        <w:rPr/>
        <w:t>2. Диагностика</w:t>
      </w:r>
      <w:bookmarkEnd w:id="27"/>
      <w:r>
        <w:rPr/>
        <w:t xml:space="preserve"> заболевания или состояния, медицинские показания и противопоказания к применению методов диагностики</w:t>
      </w:r>
    </w:p>
    <w:p>
      <w:pPr>
        <w:pStyle w:val="Normal"/>
        <w:spacing w:lineRule="auto" w:line="360" w:before="0" w:after="0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Главная задача при диагностике заключается в выявлении клинических признаков наличия кисты, определении степени тяжести и выбора соответствующего метода лечения. </w:t>
      </w:r>
    </w:p>
    <w:p>
      <w:pPr>
        <w:pStyle w:val="Normal"/>
        <w:spacing w:lineRule="auto" w:line="360" w:before="0" w:after="0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Диагностика не эпителиальных кист включает сбор анамнеза, клинический осмотр, опрос ребенка (по достижении 4 - летнего возраста) и дополнительные методы обследования.</w:t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Следует учитывать особенности диагностических мероприятий у детей:</w:t>
      </w:r>
    </w:p>
    <w:p>
      <w:pPr>
        <w:pStyle w:val="Normal"/>
        <w:numPr>
          <w:ilvl w:val="0"/>
          <w:numId w:val="3"/>
        </w:numPr>
        <w:spacing w:lineRule="auto" w:line="360" w:before="0" w:after="0"/>
        <w:ind w:left="708" w:hanging="28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различный уровень объективности получаемой при расспросе информации от ребенка и третьих лиц (родители по-разному интерпретируют жалобы и анамнез);</w:t>
      </w:r>
    </w:p>
    <w:p>
      <w:pPr>
        <w:pStyle w:val="Normal"/>
        <w:numPr>
          <w:ilvl w:val="0"/>
          <w:numId w:val="3"/>
        </w:numPr>
        <w:spacing w:lineRule="auto" w:line="360" w:before="0" w:after="0"/>
        <w:ind w:left="708" w:hanging="28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субъективность ощущений ребенка при проведении диагностических тестов;</w:t>
      </w:r>
    </w:p>
    <w:p>
      <w:pPr>
        <w:pStyle w:val="Normal"/>
        <w:numPr>
          <w:ilvl w:val="0"/>
          <w:numId w:val="3"/>
        </w:numPr>
        <w:spacing w:lineRule="auto" w:line="360" w:before="0" w:after="0"/>
        <w:ind w:left="708" w:hanging="28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различный уровень взаимодействия врача, пациента и родителей;</w:t>
      </w:r>
    </w:p>
    <w:p>
      <w:pPr>
        <w:pStyle w:val="Normal"/>
        <w:numPr>
          <w:ilvl w:val="0"/>
          <w:numId w:val="3"/>
        </w:numPr>
        <w:spacing w:lineRule="auto" w:line="360" w:before="0" w:after="0"/>
        <w:ind w:left="708" w:hanging="28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невозможность проведения сложных диагностических манипуляций из-за возрастных и психо - эмоциональных особенностей ребенка.</w:t>
      </w:r>
    </w:p>
    <w:p>
      <w:pPr>
        <w:pStyle w:val="2"/>
        <w:ind w:hanging="0"/>
        <w:rPr/>
      </w:pPr>
      <w:bookmarkStart w:id="28" w:name="__RefHeading___Toc5013_2511029755"/>
      <w:bookmarkStart w:id="29" w:name="_Toc49964330"/>
      <w:bookmarkStart w:id="30" w:name="_2s8eyo1"/>
      <w:bookmarkEnd w:id="28"/>
      <w:bookmarkEnd w:id="30"/>
      <w:r>
        <w:rPr/>
        <w:t>2.1 Жалобы и анамнез</w:t>
      </w:r>
      <w:bookmarkEnd w:id="29"/>
    </w:p>
    <w:p>
      <w:pPr>
        <w:pStyle w:val="3"/>
        <w:spacing w:lineRule="auto" w:line="360" w:before="280" w:after="0"/>
        <w:jc w:val="both"/>
        <w:rPr/>
      </w:pPr>
      <w:bookmarkStart w:id="31" w:name="__RefHeading___Toc5015_2511029755"/>
      <w:bookmarkStart w:id="32" w:name="_Toc49964331"/>
      <w:bookmarkStart w:id="33" w:name="_ucp4c915sr91"/>
      <w:bookmarkEnd w:id="31"/>
      <w:bookmarkEnd w:id="33"/>
      <w:r>
        <w:rPr/>
        <w:t>2.1.1 При сборе анамнеза необходимо учитывать:</w:t>
      </w:r>
      <w:bookmarkEnd w:id="32"/>
    </w:p>
    <w:p>
      <w:pPr>
        <w:pStyle w:val="Normal"/>
        <w:numPr>
          <w:ilvl w:val="0"/>
          <w:numId w:val="4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возраст ребенка;</w:t>
      </w:r>
    </w:p>
    <w:p>
      <w:pPr>
        <w:pStyle w:val="Normal"/>
        <w:numPr>
          <w:ilvl w:val="0"/>
          <w:numId w:val="4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наличие сопутствующей патологии;</w:t>
      </w:r>
    </w:p>
    <w:p>
      <w:pPr>
        <w:pStyle w:val="Normal"/>
        <w:numPr>
          <w:ilvl w:val="0"/>
          <w:numId w:val="4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жалобы пациента;</w:t>
      </w:r>
    </w:p>
    <w:p>
      <w:pPr>
        <w:pStyle w:val="Normal"/>
        <w:numPr>
          <w:ilvl w:val="0"/>
          <w:numId w:val="4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давность и динамика заболевания;</w:t>
      </w:r>
    </w:p>
    <w:p>
      <w:pPr>
        <w:pStyle w:val="Normal"/>
        <w:numPr>
          <w:ilvl w:val="0"/>
          <w:numId w:val="4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наличие травмы в прошлом и в настоящее время;</w:t>
      </w:r>
    </w:p>
    <w:p>
      <w:pPr>
        <w:pStyle w:val="Normal"/>
        <w:numPr>
          <w:ilvl w:val="0"/>
          <w:numId w:val="4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наличие вредных привычек наличие соматических заболеваний и аллергических реакций, обязательно должна быть заполнена анкета о здоровье ребенка;</w:t>
      </w:r>
    </w:p>
    <w:p>
      <w:pPr>
        <w:pStyle w:val="Normal"/>
        <w:numPr>
          <w:ilvl w:val="0"/>
          <w:numId w:val="4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наличие непереносимости лекарственных препаратов и материалов, используемых на данном этапе лечения;</w:t>
      </w:r>
    </w:p>
    <w:p>
      <w:pPr>
        <w:pStyle w:val="Normal"/>
        <w:numPr>
          <w:ilvl w:val="0"/>
          <w:numId w:val="4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наличие и регулярность индивидуальной гигиены полости рта;</w:t>
      </w:r>
    </w:p>
    <w:p>
      <w:pPr>
        <w:pStyle w:val="Normal"/>
        <w:numPr>
          <w:ilvl w:val="0"/>
          <w:numId w:val="4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предыдущие обращения к стоматологу – как вел себя ребенок, как и в каком объеме проводилось лечение, применялось ли ранее местное обезболивание; </w:t>
      </w:r>
    </w:p>
    <w:p>
      <w:pPr>
        <w:pStyle w:val="Normal"/>
        <w:numPr>
          <w:ilvl w:val="0"/>
          <w:numId w:val="4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наличие или отсутствие ортодонтического лечения. [5]</w:t>
      </w:r>
    </w:p>
    <w:p>
      <w:pPr>
        <w:pStyle w:val="2"/>
        <w:ind w:hanging="0"/>
        <w:rPr/>
      </w:pPr>
      <w:bookmarkStart w:id="34" w:name="__RefHeading___Toc5017_2511029755"/>
      <w:bookmarkStart w:id="35" w:name="_Toc49964332"/>
      <w:bookmarkStart w:id="36" w:name="_17dp8vu"/>
      <w:bookmarkEnd w:id="34"/>
      <w:bookmarkEnd w:id="36"/>
      <w:r>
        <w:rPr/>
        <w:t>2.2 Физикальное обследование</w:t>
      </w:r>
      <w:bookmarkEnd w:id="35"/>
    </w:p>
    <w:p>
      <w:pPr>
        <w:pStyle w:val="Normal"/>
        <w:spacing w:lineRule="auto" w:line="36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При физикальном обследовании устанавливается </w:t>
      </w:r>
      <w:r>
        <w:rPr>
          <w:rFonts w:eastAsia="Times New Roman"/>
          <w:sz w:val="24"/>
          <w:szCs w:val="24"/>
        </w:rPr>
        <w:t>наличие припухлости, увеличение регионарных лимфатических узлов, выбухания кортикальной пластинки, подвижность зубов, изменения слизистой оболочки.</w:t>
      </w:r>
      <w:r>
        <w:rPr>
          <w:rFonts w:eastAsia="Times New Roman"/>
          <w:color w:val="000000"/>
          <w:sz w:val="24"/>
          <w:szCs w:val="24"/>
        </w:rPr>
        <w:t xml:space="preserve"> В зависимости от </w:t>
      </w:r>
      <w:r>
        <w:rPr>
          <w:rFonts w:eastAsia="Times New Roman"/>
          <w:sz w:val="24"/>
          <w:szCs w:val="24"/>
        </w:rPr>
        <w:t>клинической картины</w:t>
      </w:r>
      <w:r>
        <w:rPr>
          <w:rFonts w:eastAsia="Times New Roman"/>
          <w:color w:val="000000"/>
          <w:sz w:val="24"/>
          <w:szCs w:val="24"/>
        </w:rPr>
        <w:t xml:space="preserve"> выбирают метод лечения.</w:t>
      </w:r>
    </w:p>
    <w:p>
      <w:pPr>
        <w:pStyle w:val="Normal"/>
        <w:spacing w:lineRule="auto" w:line="36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sz w:val="24"/>
          <w:szCs w:val="24"/>
        </w:rPr>
        <w:t>1.</w:t>
      </w:r>
      <w:r>
        <w:rPr>
          <w:rFonts w:eastAsia="Times New Roman"/>
          <w:color w:val="000000"/>
          <w:sz w:val="24"/>
          <w:szCs w:val="24"/>
        </w:rPr>
        <w:t xml:space="preserve"> внешний осмотр</w:t>
      </w:r>
    </w:p>
    <w:p>
      <w:pPr>
        <w:pStyle w:val="Normal"/>
        <w:numPr>
          <w:ilvl w:val="0"/>
          <w:numId w:val="10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возможно нарушение конфигурации лица за счет врожденных заболеван</w:t>
      </w:r>
      <w:r>
        <w:rPr>
          <w:rFonts w:eastAsia="Times New Roman"/>
          <w:sz w:val="24"/>
          <w:szCs w:val="24"/>
        </w:rPr>
        <w:t>ий, сопутствующей общесоматической патологии, нарушении прикуса;</w:t>
      </w:r>
    </w:p>
    <w:p>
      <w:pPr>
        <w:pStyle w:val="Normal"/>
        <w:numPr>
          <w:ilvl w:val="0"/>
          <w:numId w:val="10"/>
        </w:numPr>
        <w:spacing w:lineRule="auto" w:line="360"/>
        <w:ind w:left="720" w:hanging="294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наличие травматического повреждения кожи, губ (ссадины, гематомы).</w:t>
      </w:r>
    </w:p>
    <w:p>
      <w:pPr>
        <w:pStyle w:val="Normal"/>
        <w:spacing w:lineRule="auto" w:line="36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2. внутриротовое обследование</w:t>
      </w:r>
    </w:p>
    <w:p>
      <w:pPr>
        <w:pStyle w:val="Normal"/>
        <w:numPr>
          <w:ilvl w:val="0"/>
          <w:numId w:val="8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осмотр слизистой оболочки </w:t>
      </w:r>
      <w:r>
        <w:rPr>
          <w:rFonts w:eastAsia="Times New Roman"/>
          <w:sz w:val="24"/>
          <w:szCs w:val="24"/>
        </w:rPr>
        <w:t>полости рта, языка, уздечки языка, дна полости рта (</w:t>
      </w:r>
      <w:r>
        <w:rPr>
          <w:rFonts w:eastAsia="Times New Roman"/>
          <w:color w:val="000000"/>
          <w:sz w:val="24"/>
          <w:szCs w:val="24"/>
        </w:rPr>
        <w:t xml:space="preserve">выявление </w:t>
      </w:r>
      <w:r>
        <w:rPr>
          <w:rFonts w:eastAsia="Times New Roman"/>
          <w:sz w:val="24"/>
          <w:szCs w:val="24"/>
        </w:rPr>
        <w:t>явлений воспалительных заболеваний слизистой оболочки полости рта, выявления рубцов уздечки языка после ранее проведенных операций);</w:t>
      </w:r>
    </w:p>
    <w:p>
      <w:pPr>
        <w:pStyle w:val="Normal"/>
        <w:numPr>
          <w:ilvl w:val="0"/>
          <w:numId w:val="8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изменение коронков</w:t>
      </w:r>
      <w:r>
        <w:rPr>
          <w:rFonts w:eastAsia="Times New Roman"/>
          <w:sz w:val="24"/>
          <w:szCs w:val="24"/>
        </w:rPr>
        <w:t>ых частей зубов  (</w:t>
      </w:r>
      <w:r>
        <w:rPr>
          <w:rFonts w:eastAsia="Times New Roman"/>
          <w:color w:val="000000"/>
          <w:sz w:val="24"/>
          <w:szCs w:val="24"/>
        </w:rPr>
        <w:t>изменение цвета зуба, наличие отлома коронки, трещины в твердых тканях, положение зуба в зубном ряду)</w:t>
      </w:r>
      <w:r>
        <w:rPr>
          <w:rFonts w:eastAsia="Times New Roman"/>
          <w:sz w:val="24"/>
          <w:szCs w:val="24"/>
        </w:rPr>
        <w:t>;</w:t>
      </w:r>
    </w:p>
    <w:p>
      <w:pPr>
        <w:pStyle w:val="Normal"/>
        <w:numPr>
          <w:ilvl w:val="0"/>
          <w:numId w:val="8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обнаружение и исследование кариозной полости </w:t>
      </w:r>
      <w:r>
        <w:rPr>
          <w:rFonts w:eastAsia="Times New Roman"/>
          <w:sz w:val="24"/>
          <w:szCs w:val="24"/>
        </w:rPr>
        <w:t>(</w:t>
      </w:r>
      <w:r>
        <w:rPr>
          <w:rFonts w:eastAsia="Times New Roman"/>
          <w:color w:val="000000"/>
          <w:sz w:val="24"/>
          <w:szCs w:val="24"/>
        </w:rPr>
        <w:t>расположение, глубина, наличие сообщения с полостью зуба, болезненность при зондировании, наличие грануляционной ткани);</w:t>
      </w:r>
    </w:p>
    <w:p>
      <w:pPr>
        <w:pStyle w:val="Normal"/>
        <w:numPr>
          <w:ilvl w:val="0"/>
          <w:numId w:val="8"/>
        </w:numPr>
        <w:spacing w:lineRule="auto" w:line="36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оценка состояния всех имеющихся зубов</w:t>
      </w:r>
      <w:r>
        <w:rPr>
          <w:rFonts w:eastAsia="Times New Roman"/>
          <w:sz w:val="24"/>
          <w:szCs w:val="24"/>
        </w:rPr>
        <w:t xml:space="preserve"> (п</w:t>
      </w:r>
      <w:r>
        <w:rPr>
          <w:rFonts w:eastAsia="Times New Roman"/>
          <w:color w:val="000000"/>
          <w:sz w:val="24"/>
          <w:szCs w:val="24"/>
        </w:rPr>
        <w:t>ри осмотре зуба выявляется перелом коронки различной степени, изменение положения зуба в зубном ряду, что говорит о перенесенной травме).</w:t>
      </w:r>
    </w:p>
    <w:p>
      <w:pPr>
        <w:pStyle w:val="Normal"/>
        <w:spacing w:lineRule="auto" w:line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Целенаправленно выявляют:</w:t>
      </w:r>
    </w:p>
    <w:p>
      <w:pPr>
        <w:pStyle w:val="Normal"/>
        <w:numPr>
          <w:ilvl w:val="0"/>
          <w:numId w:val="11"/>
        </w:numPr>
        <w:spacing w:lineRule="auto" w:line="360" w:before="0" w:after="0"/>
        <w:ind w:left="720" w:hanging="294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неадекватное психоэмоциональное состояние пациента перед лечением;</w:t>
      </w:r>
    </w:p>
    <w:p>
      <w:pPr>
        <w:pStyle w:val="Normal"/>
        <w:numPr>
          <w:ilvl w:val="0"/>
          <w:numId w:val="11"/>
        </w:numPr>
        <w:spacing w:lineRule="auto" w:line="360" w:before="0" w:after="0"/>
        <w:ind w:left="720" w:hanging="294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острые поражения слизистой оболочки рта и красной каймы губ;</w:t>
      </w:r>
    </w:p>
    <w:p>
      <w:pPr>
        <w:pStyle w:val="Normal"/>
        <w:numPr>
          <w:ilvl w:val="0"/>
          <w:numId w:val="11"/>
        </w:numPr>
        <w:spacing w:lineRule="auto" w:line="360" w:before="0" w:after="0"/>
        <w:ind w:left="720" w:hanging="294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острые воспалительные заболевания органов и тканей рта;</w:t>
      </w:r>
    </w:p>
    <w:p>
      <w:pPr>
        <w:pStyle w:val="Normal"/>
        <w:numPr>
          <w:ilvl w:val="0"/>
          <w:numId w:val="11"/>
        </w:numPr>
        <w:spacing w:lineRule="auto" w:line="360" w:before="0" w:after="0"/>
        <w:ind w:left="720" w:hanging="294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заболевания тканей пародонта в стадии обострения;</w:t>
      </w:r>
    </w:p>
    <w:p>
      <w:pPr>
        <w:pStyle w:val="Normal"/>
        <w:numPr>
          <w:ilvl w:val="0"/>
          <w:numId w:val="11"/>
        </w:numPr>
        <w:spacing w:lineRule="auto" w:line="360" w:before="0" w:after="0"/>
        <w:ind w:left="720" w:hanging="294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неудовлетворительное гигиеническое состояние рта;</w:t>
      </w:r>
    </w:p>
    <w:p>
      <w:pPr>
        <w:pStyle w:val="Normal"/>
        <w:numPr>
          <w:ilvl w:val="0"/>
          <w:numId w:val="11"/>
        </w:numPr>
        <w:spacing w:lineRule="auto" w:line="36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отказ от лечения.  [</w:t>
      </w:r>
      <w:r>
        <w:rPr>
          <w:rFonts w:eastAsia="Times New Roman"/>
          <w:sz w:val="24"/>
          <w:szCs w:val="24"/>
        </w:rPr>
        <w:t>5</w:t>
      </w:r>
      <w:r>
        <w:rPr>
          <w:rFonts w:eastAsia="Times New Roman"/>
          <w:color w:val="000000"/>
          <w:sz w:val="24"/>
          <w:szCs w:val="24"/>
        </w:rPr>
        <w:t xml:space="preserve">]  </w:t>
      </w:r>
    </w:p>
    <w:p>
      <w:pPr>
        <w:pStyle w:val="2"/>
        <w:ind w:hanging="0"/>
        <w:rPr/>
      </w:pPr>
      <w:bookmarkStart w:id="37" w:name="__RefHeading___Toc5019_2511029755"/>
      <w:bookmarkStart w:id="38" w:name="_Toc49964333"/>
      <w:bookmarkStart w:id="39" w:name="_3rdcrjn"/>
      <w:bookmarkEnd w:id="37"/>
      <w:bookmarkEnd w:id="39"/>
      <w:r>
        <w:rPr/>
        <w:t>2.3 Лабораторная диагностическ</w:t>
      </w:r>
      <w:bookmarkEnd w:id="38"/>
      <w:r>
        <w:rPr/>
        <w:t>ие исследования</w:t>
      </w:r>
    </w:p>
    <w:p>
      <w:pPr>
        <w:pStyle w:val="Normal"/>
        <w:spacing w:lineRule="auto" w:line="360"/>
        <w:ind w:firstLine="708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sz w:val="24"/>
          <w:szCs w:val="24"/>
        </w:rPr>
        <w:t>После выявления и дифференциальной диагностики не эпителиальных кист и при подозрении на малигнизацию проводится цитологическое исследование пунктата. [3]</w:t>
      </w:r>
    </w:p>
    <w:p>
      <w:pPr>
        <w:pStyle w:val="2"/>
        <w:ind w:hanging="0"/>
        <w:rPr/>
      </w:pPr>
      <w:bookmarkStart w:id="40" w:name="__RefHeading___Toc5021_2511029755"/>
      <w:bookmarkStart w:id="41" w:name="_Toc49964334"/>
      <w:bookmarkStart w:id="42" w:name="_26in1rg"/>
      <w:bookmarkEnd w:id="40"/>
      <w:bookmarkEnd w:id="42"/>
      <w:r>
        <w:rPr/>
        <w:t>2.4 Инструментальные диагностическ</w:t>
      </w:r>
      <w:bookmarkEnd w:id="41"/>
      <w:r>
        <w:rPr/>
        <w:t>ие исследования</w:t>
      </w:r>
    </w:p>
    <w:p>
      <w:pPr>
        <w:pStyle w:val="Normal"/>
        <w:spacing w:lineRule="auto" w:line="360" w:before="0" w:after="0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Для выявления не эпителиальных кист используют:</w:t>
      </w:r>
    </w:p>
    <w:p>
      <w:pPr>
        <w:pStyle w:val="Normal"/>
        <w:numPr>
          <w:ilvl w:val="0"/>
          <w:numId w:val="20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прицельную рентгенографию;</w:t>
      </w:r>
    </w:p>
    <w:p>
      <w:pPr>
        <w:pStyle w:val="Normal"/>
        <w:numPr>
          <w:ilvl w:val="0"/>
          <w:numId w:val="20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боковой снимок;</w:t>
      </w:r>
    </w:p>
    <w:p>
      <w:pPr>
        <w:pStyle w:val="Normal"/>
        <w:numPr>
          <w:ilvl w:val="0"/>
          <w:numId w:val="20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обзорную рентгенографию;</w:t>
      </w:r>
    </w:p>
    <w:p>
      <w:pPr>
        <w:pStyle w:val="Normal"/>
        <w:numPr>
          <w:ilvl w:val="0"/>
          <w:numId w:val="20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компьютерную томографию;</w:t>
      </w:r>
    </w:p>
    <w:p>
      <w:pPr>
        <w:pStyle w:val="Normal"/>
        <w:numPr>
          <w:ilvl w:val="0"/>
          <w:numId w:val="20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ЭОД. [1, 3]</w:t>
      </w:r>
    </w:p>
    <w:p>
      <w:pPr>
        <w:pStyle w:val="Normal"/>
        <w:spacing w:lineRule="auto" w:line="360"/>
        <w:ind w:firstLine="70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Рентгенологически аневризмальная киста выявляется в виде очага просветления в кости челюсти округлой или чаще овальной формы, иногда с более или менее выраженной “ячеистостью”. Картина дефекта кости однородная, границы со всех сторон четкие. Кортикальный слой кости значительно истончен и вздут. </w:t>
      </w:r>
    </w:p>
    <w:p>
      <w:pPr>
        <w:pStyle w:val="Normal"/>
        <w:spacing w:lineRule="auto" w:line="360"/>
        <w:ind w:firstLine="70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Простая костная киста рентгенологически в толще кости определялась как однокамерная полость без деформации и нарушения непрерывности коркового слоя. Границы полости нечеткие. [1]</w:t>
      </w:r>
    </w:p>
    <w:p>
      <w:pPr>
        <w:pStyle w:val="2"/>
        <w:ind w:hanging="0"/>
        <w:rPr>
          <w:i/>
          <w:i/>
        </w:rPr>
      </w:pPr>
      <w:bookmarkStart w:id="43" w:name="__RefHeading___Toc5023_2511029755"/>
      <w:bookmarkStart w:id="44" w:name="_Toc49964335"/>
      <w:bookmarkStart w:id="45" w:name="_lnxbz9"/>
      <w:bookmarkEnd w:id="43"/>
      <w:bookmarkEnd w:id="45"/>
      <w:r>
        <w:rPr/>
        <w:t>2.5 Иные диагности</w:t>
      </w:r>
      <w:bookmarkEnd w:id="44"/>
      <w:r>
        <w:rPr/>
        <w:t>ческие исследования</w:t>
      </w:r>
    </w:p>
    <w:p>
      <w:pPr>
        <w:pStyle w:val="3"/>
        <w:spacing w:lineRule="auto" w:line="360"/>
        <w:jc w:val="both"/>
        <w:rPr/>
      </w:pPr>
      <w:bookmarkStart w:id="46" w:name="__RefHeading___Toc5025_2511029755"/>
      <w:bookmarkStart w:id="47" w:name="_Toc49964336"/>
      <w:bookmarkStart w:id="48" w:name="_bm23e4mu8bja"/>
      <w:bookmarkEnd w:id="46"/>
      <w:bookmarkEnd w:id="48"/>
      <w:r>
        <w:rPr/>
        <w:t>2.5.1. фото- и видеосъемка с помощью внутриротовой видеокамеры</w:t>
      </w:r>
      <w:bookmarkEnd w:id="47"/>
    </w:p>
    <w:p>
      <w:pPr>
        <w:pStyle w:val="Normal"/>
        <w:spacing w:lineRule="auto" w:line="360"/>
        <w:ind w:firstLine="708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Позволяет обнаружить, оценить патологические изменения слизистой оболочки полости рта, визуализировать результаты исследования на экране, обсудить их с пациентом и его представителями, произвести фотографирование непосредственно в полости рта</w:t>
      </w:r>
      <w:r>
        <w:rPr>
          <w:rFonts w:eastAsia="Times New Roman"/>
          <w:sz w:val="24"/>
          <w:szCs w:val="24"/>
        </w:rPr>
        <w:t>.</w:t>
      </w:r>
      <w:r>
        <w:rPr>
          <w:rFonts w:eastAsia="Times New Roman"/>
          <w:color w:val="000000"/>
          <w:sz w:val="24"/>
          <w:szCs w:val="24"/>
        </w:rPr>
        <w:t xml:space="preserve"> [5]</w:t>
      </w:r>
    </w:p>
    <w:p>
      <w:pPr>
        <w:pStyle w:val="Normal"/>
        <w:spacing w:lineRule="auto" w:line="360" w:before="0" w:after="0"/>
        <w:jc w:val="both"/>
        <w:rPr>
          <w:rFonts w:eastAsia="Times New Roman"/>
          <w:b/>
          <w:b/>
          <w:color w:val="00000A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>Уровень убедительности B (уровень достоверности доказательств – 2)</w:t>
      </w:r>
    </w:p>
    <w:p>
      <w:pPr>
        <w:pStyle w:val="1"/>
        <w:keepLines/>
        <w:jc w:val="center"/>
        <w:rPr/>
      </w:pPr>
      <w:bookmarkStart w:id="49" w:name="__RefHeading___Toc5027_2511029755"/>
      <w:bookmarkStart w:id="50" w:name="_Toc49964337"/>
      <w:bookmarkStart w:id="51" w:name="_35nkun2"/>
      <w:bookmarkEnd w:id="49"/>
      <w:bookmarkEnd w:id="51"/>
      <w:r>
        <w:rPr/>
        <w:t>3. Лечение</w:t>
      </w:r>
      <w:bookmarkEnd w:id="50"/>
      <w:r>
        <w:rPr/>
        <w:t>, включая медикаментозную и не медикаментозную терапии, диетотерапию, обезболивание, медицинские показания и противопоказания к применению методов лечения</w:t>
      </w:r>
    </w:p>
    <w:p>
      <w:pPr>
        <w:pStyle w:val="Normal"/>
        <w:spacing w:lineRule="auto" w:line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Существует два основных вида оперативных вмешательств по поводу не эпителиальных кист челюстей:</w:t>
      </w:r>
    </w:p>
    <w:p>
      <w:pPr>
        <w:pStyle w:val="Normal"/>
        <w:numPr>
          <w:ilvl w:val="0"/>
          <w:numId w:val="19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цистэктомия (закрытый и открытый способ ведения костной раны);</w:t>
      </w:r>
    </w:p>
    <w:p>
      <w:pPr>
        <w:pStyle w:val="Normal"/>
        <w:numPr>
          <w:ilvl w:val="0"/>
          <w:numId w:val="19"/>
        </w:numPr>
        <w:spacing w:lineRule="auto" w:line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цистэктомия с одномоментной костной пластикой (при значительном истончении кости челюсти) [1]</w:t>
      </w:r>
    </w:p>
    <w:p>
      <w:pPr>
        <w:pStyle w:val="Normal"/>
        <w:spacing w:lineRule="auto" w:line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Процесс лечения завершается рекомендациями по срокам повторного обращения, профилактике возможных осложнений и возможной реабилитации пациента.</w:t>
      </w:r>
    </w:p>
    <w:p>
      <w:pPr>
        <w:pStyle w:val="2"/>
        <w:widowControl/>
        <w:numPr>
          <w:ilvl w:val="0"/>
          <w:numId w:val="0"/>
        </w:numPr>
        <w:suppressAutoHyphens w:val="true"/>
        <w:bidi w:val="0"/>
        <w:spacing w:lineRule="auto" w:line="360" w:before="240" w:after="0"/>
        <w:ind w:left="0" w:right="0" w:hanging="0"/>
        <w:jc w:val="both"/>
        <w:outlineLvl w:val="1"/>
        <w:rPr/>
      </w:pPr>
      <w:bookmarkStart w:id="52" w:name="__RefHeading___Toc5029_2511029755"/>
      <w:bookmarkStart w:id="53" w:name="_Toc49964338"/>
      <w:bookmarkStart w:id="54" w:name="_1ksv4uv"/>
      <w:bookmarkEnd w:id="52"/>
      <w:bookmarkEnd w:id="54"/>
      <w:r>
        <w:rPr/>
        <w:t>3.1 Консервативное лечение</w:t>
      </w:r>
      <w:bookmarkEnd w:id="53"/>
    </w:p>
    <w:p>
      <w:pPr>
        <w:pStyle w:val="Normal"/>
        <w:shd w:val="clear" w:color="auto" w:fill="FFFFFF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Консервативное методы лечения при неэпитлиальных кистах не предусмотрены.</w:t>
      </w:r>
    </w:p>
    <w:p>
      <w:pPr>
        <w:pStyle w:val="2"/>
        <w:ind w:hanging="0"/>
        <w:rPr/>
      </w:pPr>
      <w:bookmarkStart w:id="55" w:name="__RefHeading___Toc5031_2511029755"/>
      <w:bookmarkStart w:id="56" w:name="_Toc49964340"/>
      <w:bookmarkStart w:id="57" w:name="_44sinio"/>
      <w:bookmarkEnd w:id="55"/>
      <w:bookmarkEnd w:id="57"/>
      <w:r>
        <w:rPr/>
        <w:t>3.2 Хирургическое лечение</w:t>
      </w:r>
      <w:bookmarkEnd w:id="56"/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Существует несколько видов операций:</w:t>
      </w:r>
    </w:p>
    <w:p>
      <w:pPr>
        <w:pStyle w:val="Normal"/>
        <w:numPr>
          <w:ilvl w:val="0"/>
          <w:numId w:val="14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цистэктомия (закрытый и открытый способ ведения костной раны);</w:t>
      </w:r>
    </w:p>
    <w:p>
      <w:pPr>
        <w:pStyle w:val="Normal"/>
        <w:numPr>
          <w:ilvl w:val="0"/>
          <w:numId w:val="14"/>
        </w:numPr>
        <w:spacing w:lineRule="auto" w:line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цистэктомия с одномоментной костной пластикой (при значительном истончении кости челюсти) [1]</w:t>
      </w:r>
    </w:p>
    <w:p>
      <w:pPr>
        <w:pStyle w:val="Normal"/>
        <w:spacing w:lineRule="auto" w:line="360" w:before="0" w:after="0"/>
        <w:jc w:val="both"/>
        <w:rPr>
          <w:rFonts w:eastAsia="Times New Roman"/>
          <w:b/>
          <w:b/>
          <w:color w:val="00000A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>Уровень убедительности B (уровень достоверности доказательств – 2)</w:t>
      </w:r>
    </w:p>
    <w:p>
      <w:pPr>
        <w:pStyle w:val="Normal"/>
        <w:spacing w:lineRule="auto" w:line="360" w:before="0" w:after="0"/>
        <w:jc w:val="both"/>
        <w:rPr>
          <w:rFonts w:eastAsia="Times New Roman"/>
          <w:b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Комментарии.</w:t>
      </w:r>
    </w:p>
    <w:p>
      <w:pPr>
        <w:pStyle w:val="3"/>
        <w:spacing w:lineRule="auto" w:line="360"/>
        <w:jc w:val="both"/>
        <w:rPr/>
      </w:pPr>
      <w:bookmarkStart w:id="58" w:name="__RefHeading___Toc5033_2511029755"/>
      <w:bookmarkStart w:id="59" w:name="_Toc49964341"/>
      <w:bookmarkStart w:id="60" w:name="_5gqj20cvi488"/>
      <w:bookmarkEnd w:id="58"/>
      <w:bookmarkEnd w:id="60"/>
      <w:r>
        <w:rPr/>
        <w:t>3.2.1. Алгоритм и особенности проведения хирургического вмешательства</w:t>
      </w:r>
      <w:bookmarkEnd w:id="59"/>
    </w:p>
    <w:p>
      <w:pPr>
        <w:pStyle w:val="Normal"/>
        <w:spacing w:lineRule="auto" w:line="360" w:before="0" w:after="0"/>
        <w:jc w:val="both"/>
        <w:rPr>
          <w:rFonts w:eastAsia="Times New Roman"/>
          <w:i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Перед проведением вмешательства проводится анестезия (аппликационная, инфильтрационная, проводниковая). Перед проведением инфильтрационной анестезии место вкола иглы обрабатывается аппликационным анестетиком.</w:t>
      </w:r>
    </w:p>
    <w:p>
      <w:pPr>
        <w:pStyle w:val="Normal"/>
        <w:spacing w:lineRule="auto" w:line="360" w:before="0" w:after="0"/>
        <w:jc w:val="both"/>
        <w:rPr>
          <w:rFonts w:eastAsia="Times New Roman"/>
          <w:i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Особенности применения анестезии у детей:</w:t>
      </w:r>
    </w:p>
    <w:p>
      <w:pPr>
        <w:pStyle w:val="Normal"/>
        <w:numPr>
          <w:ilvl w:val="0"/>
          <w:numId w:val="5"/>
        </w:numPr>
        <w:spacing w:lineRule="auto" w:line="360" w:before="0" w:after="0"/>
        <w:jc w:val="both"/>
        <w:rPr>
          <w:rFonts w:eastAsia="Times New Roman"/>
          <w:i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используются анестетики с низким содержанием вазоконстриктора или без вазоконстриктора.</w:t>
      </w:r>
    </w:p>
    <w:p>
      <w:pPr>
        <w:pStyle w:val="Normal"/>
        <w:numPr>
          <w:ilvl w:val="0"/>
          <w:numId w:val="5"/>
        </w:numPr>
        <w:spacing w:lineRule="auto" w:line="360" w:before="0" w:after="0"/>
        <w:jc w:val="both"/>
        <w:rPr>
          <w:rFonts w:eastAsia="Times New Roman"/>
          <w:i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перед проведением инъекции желательно применение средств для аппликационной анестезии в виде гелей.</w:t>
      </w:r>
    </w:p>
    <w:p>
      <w:pPr>
        <w:pStyle w:val="Normal"/>
        <w:numPr>
          <w:ilvl w:val="0"/>
          <w:numId w:val="5"/>
        </w:numPr>
        <w:spacing w:lineRule="auto" w:line="360" w:before="0" w:after="0"/>
        <w:jc w:val="both"/>
        <w:rPr>
          <w:rFonts w:eastAsia="Times New Roman"/>
          <w:i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если местная анестезия проводится впервые необходимо дать  понятные объяснения ребенку по поводу будущих ощущений (что онемение тканей будет временным и не представляет для него опасности), так как дети часто пугаются непривычных ощущений.</w:t>
      </w:r>
    </w:p>
    <w:p>
      <w:pPr>
        <w:pStyle w:val="Normal"/>
        <w:numPr>
          <w:ilvl w:val="0"/>
          <w:numId w:val="5"/>
        </w:numPr>
        <w:spacing w:lineRule="auto" w:line="360" w:before="0" w:after="0"/>
        <w:jc w:val="both"/>
        <w:rPr>
          <w:rFonts w:eastAsia="Times New Roman"/>
          <w:i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необходимо дать рекомендации родителям по поведению проведения анестезии для предотвращения травматических повреждений слизистой оболочки полости рта.</w:t>
      </w:r>
    </w:p>
    <w:p>
      <w:pPr>
        <w:pStyle w:val="Normal"/>
        <w:numPr>
          <w:ilvl w:val="0"/>
          <w:numId w:val="14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цистэктомия - удаление всей эпителиально - соединительной выстилки (оболочки кисты) костной полости. Операция завершается сближением краев раны слизистой оболочки альвеолярного отростка (закрытый способ ведения костной раны) либо костную полость заполняют тампоном (открытый способ);</w:t>
      </w:r>
    </w:p>
    <w:p>
      <w:pPr>
        <w:pStyle w:val="Normal"/>
        <w:numPr>
          <w:ilvl w:val="0"/>
          <w:numId w:val="14"/>
        </w:numPr>
        <w:spacing w:lineRule="auto" w:line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цистэктомия с одномоментной костной пластикой (при значительном истончении кости челюсти) позволяет предотвратить возможные осложнения при обширном поражении челюсти [1, 2]</w:t>
      </w:r>
    </w:p>
    <w:p>
      <w:pPr>
        <w:pStyle w:val="3"/>
        <w:spacing w:lineRule="auto" w:line="360"/>
        <w:jc w:val="both"/>
        <w:rPr/>
      </w:pPr>
      <w:bookmarkStart w:id="61" w:name="__RefHeading___Toc5035_2511029755"/>
      <w:bookmarkStart w:id="62" w:name="_Toc49964342"/>
      <w:bookmarkStart w:id="63" w:name="_qpcz2p493lkh"/>
      <w:bookmarkEnd w:id="61"/>
      <w:bookmarkEnd w:id="63"/>
      <w:r>
        <w:rPr/>
        <w:t>3.2.2. Осложнения во время операции и послеоперационном периоде</w:t>
      </w:r>
      <w:bookmarkEnd w:id="62"/>
    </w:p>
    <w:p>
      <w:pPr>
        <w:pStyle w:val="Normal"/>
        <w:numPr>
          <w:ilvl w:val="0"/>
          <w:numId w:val="18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возникновение кровотечения из нижней альвеолярной артерии;</w:t>
      </w:r>
    </w:p>
    <w:p>
      <w:pPr>
        <w:pStyle w:val="Normal"/>
        <w:numPr>
          <w:ilvl w:val="0"/>
          <w:numId w:val="18"/>
        </w:numPr>
        <w:spacing w:lineRule="auto" w:line="360" w:before="0" w:after="0"/>
        <w:ind w:left="720" w:hanging="294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повреждение нижнего альвеолярного нерва и, как следствие, возникновении парестезии в послеоперационном периоде;</w:t>
      </w:r>
    </w:p>
    <w:p>
      <w:pPr>
        <w:pStyle w:val="Normal"/>
        <w:numPr>
          <w:ilvl w:val="0"/>
          <w:numId w:val="18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при проведении операции на верхней челюсти - перфорация дна гайморовой пазухи;</w:t>
      </w:r>
    </w:p>
    <w:p>
      <w:pPr>
        <w:pStyle w:val="Normal"/>
        <w:numPr>
          <w:ilvl w:val="0"/>
          <w:numId w:val="18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перелом инструмента;</w:t>
      </w:r>
    </w:p>
    <w:p>
      <w:pPr>
        <w:pStyle w:val="Normal"/>
        <w:numPr>
          <w:ilvl w:val="0"/>
          <w:numId w:val="18"/>
        </w:numPr>
        <w:spacing w:lineRule="auto" w:line="36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перелом нижней челюсти [1].</w:t>
      </w:r>
    </w:p>
    <w:p>
      <w:pPr>
        <w:pStyle w:val="1"/>
        <w:spacing w:before="0" w:after="0"/>
        <w:jc w:val="center"/>
        <w:rPr/>
      </w:pPr>
      <w:bookmarkStart w:id="64" w:name="__RefHeading___Toc5037_2511029755"/>
      <w:bookmarkStart w:id="65" w:name="_Toc49964343"/>
      <w:bookmarkStart w:id="66" w:name="_jdq0cj1b3qpe"/>
      <w:bookmarkEnd w:id="64"/>
      <w:bookmarkEnd w:id="66"/>
      <w:r>
        <w:rPr/>
        <w:t>4. Медицинская реабилитация</w:t>
      </w:r>
      <w:bookmarkEnd w:id="65"/>
      <w:r>
        <w:rPr/>
        <w:t>, медицинские показания и противопоказания к применению  методов реабилитации</w:t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После проведения хирургического лечения необходимо: </w:t>
      </w:r>
    </w:p>
    <w:p>
      <w:pPr>
        <w:pStyle w:val="Normal"/>
        <w:numPr>
          <w:ilvl w:val="0"/>
          <w:numId w:val="13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после вмешательства ребенку рекомендуется сразу приложить холод на кожные покровы в проекции послеоперационной области;</w:t>
      </w:r>
    </w:p>
    <w:p>
      <w:pPr>
        <w:pStyle w:val="Normal"/>
        <w:numPr>
          <w:ilvl w:val="0"/>
          <w:numId w:val="13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если операция проходила в амбулаторных условиях детям дают обезболивающее и рекомендуют съесть мороженое (лизать языком), просят соблюдать охранительный режим молчания в первые сутки после операции. Следует избегать физических нагрузок в первую неделю после операции;</w:t>
      </w:r>
    </w:p>
    <w:p>
      <w:pPr>
        <w:pStyle w:val="Normal"/>
        <w:numPr>
          <w:ilvl w:val="0"/>
          <w:numId w:val="13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детям и родителям разъясняют правила и режим антисептической обработки послеоперационной области и способы проведения гигиенических процедур полости рта;</w:t>
      </w:r>
    </w:p>
    <w:p>
      <w:pPr>
        <w:pStyle w:val="Normal"/>
        <w:numPr>
          <w:ilvl w:val="0"/>
          <w:numId w:val="13"/>
        </w:numPr>
        <w:spacing w:lineRule="auto" w:line="360" w:before="0" w:after="28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назначается повторный осмотр через 7 дней. [3, 4]</w:t>
      </w:r>
    </w:p>
    <w:p>
      <w:pPr>
        <w:pStyle w:val="1"/>
        <w:keepLines/>
        <w:jc w:val="center"/>
        <w:rPr/>
      </w:pPr>
      <w:bookmarkStart w:id="67" w:name="__RefHeading___Toc5039_2511029755"/>
      <w:bookmarkStart w:id="68" w:name="_Toc49964344"/>
      <w:bookmarkStart w:id="69" w:name="_3j2qqm3"/>
      <w:bookmarkEnd w:id="67"/>
      <w:bookmarkEnd w:id="69"/>
      <w:r>
        <w:rPr/>
        <w:t>5. Профилактика и диспансерное наблюдение</w:t>
      </w:r>
      <w:bookmarkEnd w:id="68"/>
      <w:r>
        <w:rPr/>
        <w:t>, медицинские показания и противопоказания к применению методов профилактики</w:t>
      </w:r>
    </w:p>
    <w:p>
      <w:pPr>
        <w:pStyle w:val="2"/>
        <w:rPr/>
      </w:pPr>
      <w:bookmarkStart w:id="70" w:name="__RefHeading___Toc5041_2511029755"/>
      <w:bookmarkStart w:id="71" w:name="_Toc49964345"/>
      <w:bookmarkStart w:id="72" w:name="_30d20x5tjhr0"/>
      <w:bookmarkEnd w:id="70"/>
      <w:bookmarkEnd w:id="72"/>
      <w:r>
        <w:rPr/>
        <w:t>5.1  Профилактика</w:t>
      </w:r>
      <w:bookmarkEnd w:id="71"/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Исходя из современных представлений о возникновении и диагностики неэпетелиальных кист профилактика должна осуществляться по нескольким направлениям:</w:t>
      </w:r>
    </w:p>
    <w:p>
      <w:pPr>
        <w:pStyle w:val="Normal"/>
        <w:numPr>
          <w:ilvl w:val="0"/>
          <w:numId w:val="12"/>
        </w:numPr>
        <w:tabs>
          <w:tab w:val="clear" w:pos="720"/>
          <w:tab w:val="left" w:pos="0" w:leader="none"/>
        </w:tabs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исключение патологических экзогенных и эндогенных факторов, влияющих на ребенка в подростковом возрасте;</w:t>
      </w:r>
    </w:p>
    <w:p>
      <w:pPr>
        <w:pStyle w:val="Normal"/>
        <w:numPr>
          <w:ilvl w:val="0"/>
          <w:numId w:val="12"/>
        </w:numPr>
        <w:tabs>
          <w:tab w:val="clear" w:pos="720"/>
          <w:tab w:val="left" w:pos="0" w:leader="none"/>
        </w:tabs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своевременная диагностика кист врачами - стоматологами при проведении плановых профилактических осмотров;</w:t>
      </w:r>
    </w:p>
    <w:p>
      <w:pPr>
        <w:pStyle w:val="Normal"/>
        <w:numPr>
          <w:ilvl w:val="0"/>
          <w:numId w:val="12"/>
        </w:numPr>
        <w:tabs>
          <w:tab w:val="clear" w:pos="720"/>
          <w:tab w:val="left" w:pos="0" w:leader="none"/>
        </w:tabs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организация врачом стоматологом - терапевтом консультации врача стоматолога - хирурга для детей с подозрением на наличие кист;</w:t>
      </w:r>
    </w:p>
    <w:p>
      <w:pPr>
        <w:pStyle w:val="Normal"/>
        <w:numPr>
          <w:ilvl w:val="0"/>
          <w:numId w:val="12"/>
        </w:numPr>
        <w:tabs>
          <w:tab w:val="clear" w:pos="720"/>
          <w:tab w:val="left" w:pos="0" w:leader="none"/>
        </w:tabs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своевременное выявление врачами стоматологами - терапевтами детей с патологией ЗЧС и ЗЧА и направление их на консультацию к врачу ортодонту;</w:t>
      </w:r>
    </w:p>
    <w:p>
      <w:pPr>
        <w:pStyle w:val="Normal"/>
        <w:numPr>
          <w:ilvl w:val="0"/>
          <w:numId w:val="12"/>
        </w:numPr>
        <w:tabs>
          <w:tab w:val="clear" w:pos="720"/>
          <w:tab w:val="left" w:pos="0" w:leader="none"/>
        </w:tabs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при необходимости, организация врачом стоматологом - терапевтом совместной консультации пациента несколькими специалистами (врачом челюстно - лицевым хирургом, врачом стоматологом - хирургом). [1, 3]  </w:t>
      </w:r>
    </w:p>
    <w:p>
      <w:pPr>
        <w:pStyle w:val="2"/>
        <w:spacing w:before="0" w:after="0"/>
        <w:rPr/>
      </w:pPr>
      <w:r>
        <w:rPr/>
      </w:r>
    </w:p>
    <w:p>
      <w:pPr>
        <w:pStyle w:val="2"/>
        <w:spacing w:before="0" w:after="0"/>
        <w:rPr/>
      </w:pPr>
      <w:bookmarkStart w:id="73" w:name="__RefHeading___Toc5043_2511029755"/>
      <w:bookmarkStart w:id="74" w:name="_Toc49964346"/>
      <w:bookmarkEnd w:id="73"/>
      <w:r>
        <w:rPr/>
        <w:t>5.2  Диспансеризация</w:t>
      </w:r>
      <w:bookmarkEnd w:id="74"/>
    </w:p>
    <w:p>
      <w:pPr>
        <w:pStyle w:val="Normal"/>
        <w:spacing w:lineRule="auto" w:line="360" w:before="0" w:after="0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Дети с неэпителиальными кистами должны быть поставлены на диспансерный учет и осмотр их должен осуществляться на каждом этапе лечения и восстановления и 1 раз в год в послеоперационном периоде. [3, 4]</w:t>
      </w:r>
    </w:p>
    <w:p>
      <w:pPr>
        <w:pStyle w:val="Normal"/>
        <w:spacing w:lineRule="auto" w:line="360" w:before="0" w:after="0"/>
        <w:jc w:val="both"/>
        <w:rPr>
          <w:rFonts w:eastAsia="Times New Roman"/>
          <w:i/>
          <w:i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>Уровень убедительности В (уровень достоверности доказательств – 2)</w:t>
      </w:r>
    </w:p>
    <w:p>
      <w:pPr>
        <w:pStyle w:val="1"/>
        <w:keepLines/>
        <w:jc w:val="center"/>
        <w:rPr>
          <w:sz w:val="28"/>
          <w:szCs w:val="28"/>
        </w:rPr>
      </w:pPr>
      <w:bookmarkStart w:id="75" w:name="__RefHeading___Toc5045_2511029755"/>
      <w:bookmarkStart w:id="76" w:name="_1y810tw"/>
      <w:bookmarkEnd w:id="75"/>
      <w:bookmarkEnd w:id="76"/>
      <w:r>
        <w:rPr>
          <w:sz w:val="28"/>
          <w:szCs w:val="28"/>
        </w:rPr>
        <w:t xml:space="preserve">6.  </w:t>
      </w:r>
      <w:r>
        <w:rPr>
          <w:rFonts w:eastAsia="Times New Roman"/>
          <w:sz w:val="28"/>
          <w:szCs w:val="28"/>
        </w:rPr>
        <w:t xml:space="preserve">  Организация оказания медицинской помощи</w:t>
      </w:r>
    </w:p>
    <w:p>
      <w:pPr>
        <w:pStyle w:val="Normal"/>
        <w:spacing w:lineRule="auto" w:line="360" w:before="0" w:after="0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Показания для госпитализации в медицинскую организацию:</w:t>
      </w:r>
    </w:p>
    <w:p>
      <w:pPr>
        <w:pStyle w:val="Normal"/>
        <w:numPr>
          <w:ilvl w:val="0"/>
          <w:numId w:val="16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малый размер кисты;</w:t>
      </w:r>
    </w:p>
    <w:p>
      <w:pPr>
        <w:pStyle w:val="Normal"/>
        <w:numPr>
          <w:ilvl w:val="0"/>
          <w:numId w:val="16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отсутствие воспалительного процесса;</w:t>
      </w:r>
    </w:p>
    <w:p>
      <w:pPr>
        <w:pStyle w:val="Normal"/>
        <w:numPr>
          <w:ilvl w:val="0"/>
          <w:numId w:val="16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необходимость дополнительного обследования ребенка.</w:t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spacing w:lineRule="auto" w:line="360" w:before="0" w:after="0"/>
        <w:ind w:left="708" w:hanging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Показания для экстренной госпитализации в медицинскую организацию:</w:t>
      </w:r>
    </w:p>
    <w:p>
      <w:pPr>
        <w:pStyle w:val="Normal"/>
        <w:numPr>
          <w:ilvl w:val="0"/>
          <w:numId w:val="17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большой размер кисты;</w:t>
      </w:r>
    </w:p>
    <w:p>
      <w:pPr>
        <w:pStyle w:val="Normal"/>
        <w:numPr>
          <w:ilvl w:val="0"/>
          <w:numId w:val="17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угроза перелома челюсти;</w:t>
      </w:r>
    </w:p>
    <w:p>
      <w:pPr>
        <w:pStyle w:val="Normal"/>
        <w:numPr>
          <w:ilvl w:val="0"/>
          <w:numId w:val="17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острый воспалительный процесс;</w:t>
      </w:r>
    </w:p>
    <w:p>
      <w:pPr>
        <w:pStyle w:val="Normal"/>
        <w:numPr>
          <w:ilvl w:val="0"/>
          <w:numId w:val="17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состояния, угрожающие жизни ребенка.</w:t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spacing w:lineRule="auto" w:line="360" w:before="0" w:after="0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Показания к </w:t>
      </w:r>
      <w:bookmarkStart w:id="77" w:name="_GoBack"/>
      <w:bookmarkEnd w:id="77"/>
      <w:r>
        <w:rPr>
          <w:rFonts w:eastAsia="Times New Roman"/>
          <w:sz w:val="24"/>
          <w:szCs w:val="24"/>
        </w:rPr>
        <w:t>выписке пациента из медицинской организации:</w:t>
      </w:r>
    </w:p>
    <w:p>
      <w:pPr>
        <w:pStyle w:val="Normal"/>
        <w:numPr>
          <w:ilvl w:val="0"/>
          <w:numId w:val="1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отсутствие воспалительных процессов; </w:t>
      </w:r>
    </w:p>
    <w:p>
      <w:pPr>
        <w:pStyle w:val="Normal"/>
        <w:numPr>
          <w:ilvl w:val="0"/>
          <w:numId w:val="1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удовлетворительное состояние и самочувствие ребенка;</w:t>
      </w:r>
    </w:p>
    <w:p>
      <w:pPr>
        <w:pStyle w:val="Normal"/>
        <w:numPr>
          <w:ilvl w:val="0"/>
          <w:numId w:val="1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эпителизация послеоперационной раны;</w:t>
      </w:r>
    </w:p>
    <w:p>
      <w:pPr>
        <w:pStyle w:val="Normal"/>
        <w:numPr>
          <w:ilvl w:val="0"/>
          <w:numId w:val="1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отсутствие осложнений.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"/>
        <w:jc w:val="center"/>
        <w:rPr>
          <w:sz w:val="24"/>
          <w:szCs w:val="24"/>
        </w:rPr>
      </w:pPr>
      <w:bookmarkStart w:id="78" w:name="__RefHeading___Toc5047_2511029755"/>
      <w:bookmarkStart w:id="79" w:name="_Toc49964347"/>
      <w:bookmarkEnd w:id="78"/>
      <w:r>
        <w:rPr/>
        <w:t>7. Дополнительная информация ( в том числе факторы, влияющие на  исход заболевания</w:t>
      </w:r>
      <w:bookmarkEnd w:id="79"/>
      <w:r>
        <w:rPr/>
        <w:t xml:space="preserve"> или состояния)</w:t>
      </w:r>
    </w:p>
    <w:p>
      <w:pPr>
        <w:pStyle w:val="Normal"/>
        <w:spacing w:lineRule="auto" w:line="360" w:before="0" w:after="0"/>
        <w:jc w:val="both"/>
        <w:rPr>
          <w:rFonts w:eastAsia="Times New Roman"/>
          <w:b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Требования к режиму труда, отдыха, лечения и реабилитации</w:t>
      </w:r>
    </w:p>
    <w:p>
      <w:pPr>
        <w:pStyle w:val="Normal"/>
        <w:spacing w:lineRule="auto" w:line="360" w:before="0" w:after="0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Детям после проведения операции по поводу удаления неэпителиальных кист рекомендуется первые 2 часа после хирургического вмешательства не полоскать полость рта, не есть, далее в течение дня не употреблять горячую пищу во избежание появления болевых ощущений, а также не выполнять тяжелые физические упражнения. Начиная со второго дня после операции, после еды, 3 раза в день следует проводить обработку послеоперационной области антисептическими растворами. Через 7 дней необходимо явиться на перевязку и осмотр к оперирующему врачу. План дальнейших перевязок и осмотров врач определяет индивидуально для каждого пациента.  Далее, при необходимости, ребенок направляется на консультацию к врачу-ортодонту для определения показаний к восстановлению и/или исправлению имеющейся ЗЧА. Рекомендуется посещать врача стоматолога 2 раза в год.</w:t>
      </w:r>
    </w:p>
    <w:p>
      <w:pPr>
        <w:pStyle w:val="Normal"/>
        <w:spacing w:lineRule="auto" w:line="360" w:before="0" w:after="0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После проведенного вмешательства в первые сутки рекомендуется ребенку соблюдать охранительный режим и есть мороженое. Родители ребенка должны быть предупреждены о необходимости немедленного обращения при появлении признаков воспалительного процесса. [3, 4]</w:t>
      </w:r>
      <w:bookmarkStart w:id="80" w:name="_Toc49964348"/>
      <w:bookmarkEnd w:id="80"/>
    </w:p>
    <w:p>
      <w:pPr>
        <w:pStyle w:val="1"/>
        <w:jc w:val="center"/>
        <w:rPr/>
      </w:pPr>
      <w:bookmarkStart w:id="81" w:name="__RefHeading___Toc5049_2511029755"/>
      <w:bookmarkStart w:id="82" w:name="_Toc49964349"/>
      <w:bookmarkStart w:id="83" w:name="_k4atswknwkvl"/>
      <w:bookmarkEnd w:id="81"/>
      <w:bookmarkEnd w:id="83"/>
      <w:r>
        <w:rPr/>
        <w:t>Критерии оценки качества медицинской помощи</w:t>
      </w:r>
      <w:bookmarkEnd w:id="82"/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  <w:u w:val="single"/>
        </w:rPr>
        <w:t>Группа заболеваний или состояний</w:t>
      </w:r>
      <w:r>
        <w:rPr>
          <w:rFonts w:eastAsia="Times New Roman"/>
          <w:sz w:val="24"/>
          <w:szCs w:val="24"/>
        </w:rPr>
        <w:t>:</w:t>
      </w:r>
      <w:r>
        <w:rPr>
          <w:rFonts w:eastAsia="Times New Roman"/>
          <w:b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Другие кисты челюстей</w:t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Код/коды по МКБ-10 К09.2, К09.20, К09.21</w:t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Формы, виды и условия оказания медицинской помощи:</w:t>
      </w:r>
    </w:p>
    <w:p>
      <w:pPr>
        <w:pStyle w:val="Normal"/>
        <w:numPr>
          <w:ilvl w:val="0"/>
          <w:numId w:val="6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обращение в поликлинику с целью консультации;</w:t>
      </w:r>
    </w:p>
    <w:p>
      <w:pPr>
        <w:pStyle w:val="Normal"/>
        <w:numPr>
          <w:ilvl w:val="0"/>
          <w:numId w:val="6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плановое лечение в поликлинике;</w:t>
      </w:r>
    </w:p>
    <w:p>
      <w:pPr>
        <w:pStyle w:val="Normal"/>
        <w:numPr>
          <w:ilvl w:val="0"/>
          <w:numId w:val="6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лечение в условиях стационара под общим обезболиванием.</w:t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</w:t>
      </w:r>
    </w:p>
    <w:tbl>
      <w:tblPr>
        <w:tblStyle w:val="a5"/>
        <w:tblW w:w="9825" w:type="dxa"/>
        <w:jc w:val="left"/>
        <w:tblInd w:w="-200" w:type="dxa"/>
        <w:tblLayout w:type="fixed"/>
        <w:tblCellMar>
          <w:top w:w="0" w:type="dxa"/>
          <w:left w:w="93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765"/>
        <w:gridCol w:w="4560"/>
        <w:gridCol w:w="2220"/>
        <w:gridCol w:w="2279"/>
      </w:tblGrid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b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№</w:t>
            </w:r>
          </w:p>
        </w:tc>
        <w:tc>
          <w:tcPr>
            <w:tcW w:w="4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b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Критерии качества</w:t>
            </w: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b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Уровень достоверности доказательств</w:t>
            </w:r>
          </w:p>
        </w:tc>
        <w:tc>
          <w:tcPr>
            <w:tcW w:w="2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b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Уровень убедительности рекомендаций</w:t>
            </w:r>
          </w:p>
        </w:tc>
      </w:tr>
      <w:tr>
        <w:trPr>
          <w:trHeight w:val="1200" w:hRule="atLeast"/>
        </w:trPr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pacing w:lineRule="auto" w:line="360" w:before="0" w:after="200"/>
              <w:jc w:val="both"/>
              <w:rPr>
                <w:rFonts w:eastAsia="Times New Roman"/>
                <w:b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1.</w:t>
            </w:r>
          </w:p>
        </w:tc>
        <w:tc>
          <w:tcPr>
            <w:tcW w:w="4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pacing w:lineRule="auto" w:line="360" w:before="0" w:after="0"/>
              <w:jc w:val="both"/>
              <w:rPr>
                <w:rFonts w:eastAsia="Times New Roman"/>
                <w:b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Событийные (смысловые, содержательные, процессуальные) критерии качества </w:t>
            </w:r>
          </w:p>
        </w:tc>
        <w:tc>
          <w:tcPr>
            <w:tcW w:w="449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b/>
                <w:b/>
                <w:sz w:val="24"/>
                <w:szCs w:val="24"/>
                <w:shd w:fill="D9D9D9" w:val="clear"/>
              </w:rPr>
            </w:pPr>
            <w:r>
              <w:rPr>
                <w:rFonts w:eastAsia="Times New Roman"/>
                <w:b/>
                <w:sz w:val="24"/>
                <w:szCs w:val="24"/>
                <w:shd w:fill="D9D9D9" w:val="clear"/>
              </w:rPr>
              <w:t xml:space="preserve"> 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1.1</w:t>
            </w:r>
          </w:p>
        </w:tc>
        <w:tc>
          <w:tcPr>
            <w:tcW w:w="4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u w:val="single"/>
              </w:rPr>
              <w:t>Проводилось ли при постановке диагноза</w:t>
            </w:r>
            <w:r>
              <w:rPr>
                <w:rFonts w:eastAsia="Times New Roman"/>
                <w:sz w:val="24"/>
                <w:szCs w:val="24"/>
              </w:rPr>
              <w:t xml:space="preserve">: </w:t>
            </w:r>
          </w:p>
        </w:tc>
        <w:tc>
          <w:tcPr>
            <w:tcW w:w="449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  <w:shd w:fill="D9D9D9" w:val="clear"/>
              </w:rPr>
            </w:pPr>
            <w:r>
              <w:rPr>
                <w:rFonts w:eastAsia="Times New Roman"/>
                <w:sz w:val="24"/>
                <w:szCs w:val="24"/>
                <w:shd w:fill="D9D9D9" w:val="clear"/>
              </w:rPr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1.1.1</w:t>
            </w:r>
          </w:p>
        </w:tc>
        <w:tc>
          <w:tcPr>
            <w:tcW w:w="456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сбор анамнеза, выявление причинных факторов заболевания </w:t>
            </w: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1.1.2</w:t>
            </w:r>
          </w:p>
        </w:tc>
        <w:tc>
          <w:tcPr>
            <w:tcW w:w="4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75" w:leader="none"/>
                <w:tab w:val="left" w:pos="459" w:leader="none"/>
              </w:tabs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внешний осмотр</w:t>
            </w: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B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1.1.3</w:t>
            </w:r>
          </w:p>
        </w:tc>
        <w:tc>
          <w:tcPr>
            <w:tcW w:w="4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осмотр полости рта</w:t>
            </w: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B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1.1.4</w:t>
            </w:r>
          </w:p>
        </w:tc>
        <w:tc>
          <w:tcPr>
            <w:tcW w:w="4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определение подвижности зубов</w:t>
            </w: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1.1.5</w:t>
            </w:r>
          </w:p>
        </w:tc>
        <w:tc>
          <w:tcPr>
            <w:tcW w:w="4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75" w:leader="none"/>
                <w:tab w:val="left" w:pos="459" w:leader="none"/>
              </w:tabs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рентгенологическое обследование</w:t>
            </w: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1.2</w:t>
            </w:r>
          </w:p>
        </w:tc>
        <w:tc>
          <w:tcPr>
            <w:tcW w:w="4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u w:val="single"/>
              </w:rPr>
              <w:t>Проводилось ли в ходе лечебных мероприятий</w:t>
            </w:r>
            <w:r>
              <w:rPr>
                <w:rFonts w:eastAsia="Times New Roman"/>
                <w:sz w:val="24"/>
                <w:szCs w:val="24"/>
              </w:rPr>
              <w:t>:</w:t>
            </w:r>
          </w:p>
        </w:tc>
        <w:tc>
          <w:tcPr>
            <w:tcW w:w="449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1.2.1</w:t>
            </w:r>
          </w:p>
        </w:tc>
        <w:tc>
          <w:tcPr>
            <w:tcW w:w="4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местное или общее обезболивание  </w:t>
            </w: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1.2.2</w:t>
            </w:r>
          </w:p>
        </w:tc>
        <w:tc>
          <w:tcPr>
            <w:tcW w:w="4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вскрытие полости кисты</w:t>
            </w: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A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1.2.3</w:t>
            </w:r>
          </w:p>
        </w:tc>
        <w:tc>
          <w:tcPr>
            <w:tcW w:w="4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удаление оболочки кисты</w:t>
            </w: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1.2.4</w:t>
            </w:r>
          </w:p>
        </w:tc>
        <w:tc>
          <w:tcPr>
            <w:tcW w:w="4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мобилизация краев раны</w:t>
            </w: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2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1.2.5</w:t>
            </w:r>
          </w:p>
        </w:tc>
        <w:tc>
          <w:tcPr>
            <w:tcW w:w="4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накладывание швов или тампонада йодоформным тампоном</w:t>
            </w: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1.2.6</w:t>
            </w:r>
          </w:p>
        </w:tc>
        <w:tc>
          <w:tcPr>
            <w:tcW w:w="4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гемостаз</w:t>
            </w: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1.2.7</w:t>
            </w:r>
          </w:p>
        </w:tc>
        <w:tc>
          <w:tcPr>
            <w:tcW w:w="4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назначение повторного приема</w:t>
            </w: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b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2.</w:t>
            </w:r>
          </w:p>
        </w:tc>
        <w:tc>
          <w:tcPr>
            <w:tcW w:w="4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Временные критерии качества</w:t>
            </w:r>
          </w:p>
        </w:tc>
        <w:tc>
          <w:tcPr>
            <w:tcW w:w="449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2.1</w:t>
            </w:r>
          </w:p>
        </w:tc>
        <w:tc>
          <w:tcPr>
            <w:tcW w:w="4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Устранение  кисты</w:t>
            </w: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  <w:tr>
        <w:trPr>
          <w:trHeight w:val="280" w:hRule="atLeast"/>
        </w:trPr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2.2</w:t>
            </w:r>
          </w:p>
        </w:tc>
        <w:tc>
          <w:tcPr>
            <w:tcW w:w="4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Сохранность целостности сосудов и нервов</w:t>
            </w: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2.3</w:t>
            </w:r>
          </w:p>
        </w:tc>
        <w:tc>
          <w:tcPr>
            <w:tcW w:w="4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Проведение контрольного осмотра</w:t>
            </w: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2.4</w:t>
            </w:r>
          </w:p>
        </w:tc>
        <w:tc>
          <w:tcPr>
            <w:tcW w:w="4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Введение лекарственных препаратов, обладающих анальгезирующим эффектом</w:t>
            </w: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2.5</w:t>
            </w:r>
          </w:p>
        </w:tc>
        <w:tc>
          <w:tcPr>
            <w:tcW w:w="4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Повторные перевязки</w:t>
            </w: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2.6</w:t>
            </w:r>
          </w:p>
        </w:tc>
        <w:tc>
          <w:tcPr>
            <w:tcW w:w="4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Наличие рекомендаций о необходимости работы с  ортодонтом</w:t>
            </w: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b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3.</w:t>
            </w:r>
          </w:p>
        </w:tc>
        <w:tc>
          <w:tcPr>
            <w:tcW w:w="4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Результативные критерии качества</w:t>
            </w:r>
          </w:p>
        </w:tc>
        <w:tc>
          <w:tcPr>
            <w:tcW w:w="449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3.1</w:t>
            </w:r>
          </w:p>
        </w:tc>
        <w:tc>
          <w:tcPr>
            <w:tcW w:w="4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Восстановление костной ткани</w:t>
            </w: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3.2</w:t>
            </w:r>
          </w:p>
        </w:tc>
        <w:tc>
          <w:tcPr>
            <w:tcW w:w="4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Устранение воспалительных процессов</w:t>
            </w: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3.3</w:t>
            </w:r>
          </w:p>
        </w:tc>
        <w:tc>
          <w:tcPr>
            <w:tcW w:w="4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Устранение патологических переломов</w:t>
            </w: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3.4</w:t>
            </w:r>
          </w:p>
        </w:tc>
        <w:tc>
          <w:tcPr>
            <w:tcW w:w="4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Наличие рекомендаций о необходимости  профилактического осмотра   2 раза в год</w:t>
            </w: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b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4.</w:t>
            </w:r>
          </w:p>
        </w:tc>
        <w:tc>
          <w:tcPr>
            <w:tcW w:w="4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b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Дополнительные критерии</w:t>
            </w:r>
          </w:p>
        </w:tc>
        <w:tc>
          <w:tcPr>
            <w:tcW w:w="449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4.1</w:t>
            </w:r>
          </w:p>
        </w:tc>
        <w:tc>
          <w:tcPr>
            <w:tcW w:w="4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Правильность и полнота заполнения медицинской документации</w:t>
            </w: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4.2</w:t>
            </w:r>
          </w:p>
        </w:tc>
        <w:tc>
          <w:tcPr>
            <w:tcW w:w="4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Отсутствие осложнений после проведения местной анестезии </w:t>
            </w: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4.3</w:t>
            </w:r>
          </w:p>
        </w:tc>
        <w:tc>
          <w:tcPr>
            <w:tcW w:w="4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Отсутствие послеоперационного отека</w:t>
            </w: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4.4</w:t>
            </w:r>
          </w:p>
        </w:tc>
        <w:tc>
          <w:tcPr>
            <w:tcW w:w="4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Отсутствие послеоперационных осложнений</w:t>
            </w: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4.5</w:t>
            </w:r>
          </w:p>
        </w:tc>
        <w:tc>
          <w:tcPr>
            <w:tcW w:w="4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Отсутствие послеоперационного рубца, либо его минимальный размер</w:t>
            </w: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4.6</w:t>
            </w:r>
          </w:p>
        </w:tc>
        <w:tc>
          <w:tcPr>
            <w:tcW w:w="4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Наличие рекомендаций о способах устранения ЗЧА</w:t>
            </w: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</w:tbl>
    <w:p>
      <w:pPr>
        <w:pStyle w:val="Normal"/>
        <w:keepNext w:val="true"/>
        <w:keepLines/>
        <w:spacing w:lineRule="auto" w:line="360" w:before="0" w:after="0"/>
        <w:jc w:val="both"/>
        <w:rPr>
          <w:rFonts w:eastAsia="Times New Roman"/>
          <w:b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</w:r>
    </w:p>
    <w:p>
      <w:pPr>
        <w:pStyle w:val="1"/>
        <w:keepLines/>
        <w:rPr/>
      </w:pPr>
      <w:bookmarkStart w:id="84" w:name="__RefHeading___Toc5051_2511029755"/>
      <w:bookmarkStart w:id="85" w:name="_Toc49964350"/>
      <w:bookmarkStart w:id="86" w:name="_4r203soo6k2j"/>
      <w:bookmarkEnd w:id="84"/>
      <w:bookmarkEnd w:id="86"/>
      <w:r>
        <w:rPr/>
        <w:t>Список литературы</w:t>
      </w:r>
      <w:bookmarkEnd w:id="85"/>
    </w:p>
    <w:p>
      <w:pPr>
        <w:pStyle w:val="Normal"/>
        <w:numPr>
          <w:ilvl w:val="0"/>
          <w:numId w:val="9"/>
        </w:numPr>
        <w:spacing w:lineRule="auto" w:line="360" w:before="120" w:after="0"/>
        <w:ind w:left="0" w:hanging="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sz w:val="24"/>
          <w:szCs w:val="24"/>
        </w:rPr>
        <w:t>Колесов А. А., Воробьев Ю. И., Каспарова Н. Н. Новообразования мягких тканей и костей лица у детей и подростков. - М.: Медицина, 1989; 304 с.</w:t>
      </w:r>
    </w:p>
    <w:p>
      <w:pPr>
        <w:pStyle w:val="Normal"/>
        <w:numPr>
          <w:ilvl w:val="0"/>
          <w:numId w:val="9"/>
        </w:numPr>
        <w:spacing w:lineRule="auto" w:line="360" w:before="120" w:after="0"/>
        <w:ind w:left="0" w:hanging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Афанасьев В. В. Хирургическая стоматология: учебник - М. ГЭОТАР-Медиа, 2011; 880 с.</w:t>
      </w:r>
    </w:p>
    <w:p>
      <w:pPr>
        <w:pStyle w:val="Normal"/>
        <w:numPr>
          <w:ilvl w:val="0"/>
          <w:numId w:val="9"/>
        </w:numPr>
        <w:spacing w:lineRule="auto" w:line="360" w:before="120" w:after="0"/>
        <w:ind w:left="0" w:hanging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Персин Л.С., Елизарова В.М., Дьякова С.В. Стоматология детского возраста. - М.: Медицина, 2003; 639 с.</w:t>
      </w:r>
    </w:p>
    <w:p>
      <w:pPr>
        <w:pStyle w:val="Normal"/>
        <w:numPr>
          <w:ilvl w:val="0"/>
          <w:numId w:val="9"/>
        </w:numPr>
        <w:spacing w:lineRule="auto" w:line="360" w:before="120" w:after="0"/>
        <w:ind w:left="0" w:hanging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Корсак А. К.Поликлиническая и госпитальная детская хирургическая стоматология. - Минск:Вышэйшая школа, 2016; 526 с.</w:t>
      </w:r>
    </w:p>
    <w:p>
      <w:pPr>
        <w:pStyle w:val="Normal"/>
        <w:numPr>
          <w:ilvl w:val="0"/>
          <w:numId w:val="9"/>
        </w:numPr>
        <w:spacing w:lineRule="auto" w:line="360" w:before="120" w:after="0"/>
        <w:ind w:left="0" w:hanging="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Янушевич О. О., Кисельникова Л. П., Топольницкий О. З. </w:t>
      </w:r>
      <w:r>
        <w:rPr>
          <w:rFonts w:eastAsia="Times New Roman"/>
          <w:color w:val="000000"/>
          <w:sz w:val="24"/>
          <w:szCs w:val="24"/>
        </w:rPr>
        <w:t>Детская стоматология: учебник – М.:ГЭОТАР-Медиа</w:t>
      </w:r>
      <w:r>
        <w:rPr>
          <w:rFonts w:eastAsia="Times New Roman"/>
          <w:sz w:val="24"/>
          <w:szCs w:val="24"/>
        </w:rPr>
        <w:t>,</w:t>
      </w:r>
      <w:r>
        <w:rPr>
          <w:rFonts w:eastAsia="Times New Roman"/>
          <w:color w:val="000000"/>
          <w:sz w:val="24"/>
          <w:szCs w:val="24"/>
        </w:rPr>
        <w:t xml:space="preserve"> 2017</w:t>
      </w:r>
      <w:r>
        <w:rPr>
          <w:rFonts w:eastAsia="Times New Roman"/>
          <w:sz w:val="24"/>
          <w:szCs w:val="24"/>
        </w:rPr>
        <w:t>;</w:t>
      </w:r>
      <w:r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с</w:t>
      </w:r>
      <w:r>
        <w:rPr>
          <w:rFonts w:eastAsia="Times New Roman"/>
          <w:color w:val="000000"/>
          <w:sz w:val="24"/>
          <w:szCs w:val="24"/>
        </w:rPr>
        <w:t>.</w:t>
      </w:r>
      <w:r>
        <w:rPr>
          <w:rFonts w:eastAsia="Times New Roman"/>
          <w:sz w:val="24"/>
          <w:szCs w:val="24"/>
        </w:rPr>
        <w:t>744</w:t>
      </w:r>
      <w:r>
        <w:rPr>
          <w:rFonts w:eastAsia="Times New Roman"/>
          <w:color w:val="000000"/>
          <w:sz w:val="24"/>
          <w:szCs w:val="24"/>
        </w:rPr>
        <w:t xml:space="preserve">. </w:t>
      </w:r>
    </w:p>
    <w:p>
      <w:pPr>
        <w:pStyle w:val="Normal"/>
        <w:spacing w:lineRule="auto" w:line="360" w:before="0" w:after="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1"/>
        <w:keepLines/>
        <w:rPr/>
      </w:pPr>
      <w:bookmarkStart w:id="87" w:name="__RefHeading___Toc5053_2511029755"/>
      <w:bookmarkStart w:id="88" w:name="_Toc49964351"/>
      <w:bookmarkStart w:id="89" w:name="_1ci93xb"/>
      <w:bookmarkEnd w:id="87"/>
      <w:bookmarkEnd w:id="89"/>
      <w:r>
        <w:rPr/>
        <w:t>Приложение А1. Состав рабочей группы</w:t>
      </w:r>
      <w:bookmarkEnd w:id="88"/>
      <w:r>
        <w:rPr/>
        <w:t xml:space="preserve"> по разработке и пересмотру клинических рекомендаций</w:t>
      </w:r>
    </w:p>
    <w:p>
      <w:pPr>
        <w:pStyle w:val="Normal"/>
        <w:spacing w:lineRule="auto" w:line="360"/>
        <w:jc w:val="both"/>
        <w:rPr>
          <w:rFonts w:eastAsia="Times New Roman"/>
          <w:b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 xml:space="preserve">Першина Александра Николаевна - </w:t>
      </w:r>
      <w:r>
        <w:rPr>
          <w:rFonts w:eastAsia="Times New Roman"/>
          <w:sz w:val="24"/>
          <w:szCs w:val="24"/>
        </w:rPr>
        <w:t>штатный врач отделения хирургической стоматологии (детского), врач хирург - стоматолог;</w:t>
      </w:r>
    </w:p>
    <w:p>
      <w:pPr>
        <w:pStyle w:val="Normal"/>
        <w:spacing w:lineRule="auto" w:line="360"/>
        <w:jc w:val="both"/>
        <w:rPr>
          <w:rFonts w:eastAsia="Times New Roman"/>
          <w:sz w:val="24"/>
          <w:szCs w:val="24"/>
        </w:rPr>
      </w:pPr>
      <w:bookmarkStart w:id="90" w:name="_nke06d12xbsq"/>
      <w:bookmarkEnd w:id="90"/>
      <w:r>
        <w:rPr>
          <w:rFonts w:eastAsia="Times New Roman"/>
          <w:b/>
          <w:sz w:val="24"/>
          <w:szCs w:val="24"/>
        </w:rPr>
        <w:t>Топольницкий Орест Зиновьевич -</w:t>
      </w:r>
      <w:r>
        <w:rPr>
          <w:rFonts w:eastAsia="Times New Roman"/>
          <w:sz w:val="24"/>
          <w:szCs w:val="24"/>
        </w:rPr>
        <w:t xml:space="preserve"> д. м. н., профессор, заслуженный врач России, заведующий кафедрой ДЧЛХ МГМСУ им. А. И. Евдокимова, врач челюстно - лицевой хирург;</w:t>
      </w:r>
    </w:p>
    <w:p>
      <w:pPr>
        <w:pStyle w:val="Normal"/>
        <w:spacing w:lineRule="auto" w:line="360"/>
        <w:jc w:val="both"/>
        <w:rPr>
          <w:rFonts w:eastAsia="Times New Roman"/>
          <w:sz w:val="24"/>
          <w:szCs w:val="24"/>
        </w:rPr>
      </w:pPr>
      <w:bookmarkStart w:id="91" w:name="_b5e1yazaq1zz"/>
      <w:bookmarkEnd w:id="91"/>
      <w:r>
        <w:rPr>
          <w:rFonts w:eastAsia="Times New Roman"/>
          <w:b/>
          <w:sz w:val="24"/>
          <w:szCs w:val="24"/>
        </w:rPr>
        <w:t xml:space="preserve">Черняев Сергей Евгеньевич - </w:t>
      </w:r>
      <w:r>
        <w:rPr>
          <w:rFonts w:eastAsia="Times New Roman"/>
          <w:sz w:val="24"/>
          <w:szCs w:val="24"/>
        </w:rPr>
        <w:t>к. м. н., заведующий отделением хирургической стоматологии (детского), врач хирург - стоматолог;</w:t>
      </w:r>
    </w:p>
    <w:p>
      <w:pPr>
        <w:pStyle w:val="Normal"/>
        <w:spacing w:lineRule="auto" w:line="360"/>
        <w:jc w:val="both"/>
        <w:rPr>
          <w:rFonts w:eastAsia="Times New Roman"/>
          <w:b/>
          <w:b/>
          <w:sz w:val="24"/>
          <w:szCs w:val="24"/>
        </w:rPr>
      </w:pPr>
      <w:bookmarkStart w:id="92" w:name="_v3ychfeko9al"/>
      <w:bookmarkEnd w:id="92"/>
      <w:r>
        <w:rPr>
          <w:rFonts w:eastAsia="Times New Roman"/>
          <w:b/>
          <w:sz w:val="24"/>
          <w:szCs w:val="24"/>
        </w:rPr>
        <w:t xml:space="preserve">Гургенадзе Анна Панаетовна </w:t>
      </w:r>
      <w:r>
        <w:rPr>
          <w:rFonts w:eastAsia="Times New Roman"/>
          <w:sz w:val="24"/>
          <w:szCs w:val="24"/>
        </w:rPr>
        <w:t>- к. м. н., доцент, заведующая учебной частью кафедры ДЧЛХ МГМСУ им. А. И. Евдокимова</w:t>
      </w:r>
    </w:p>
    <w:p>
      <w:pPr>
        <w:pStyle w:val="Normal"/>
        <w:spacing w:lineRule="auto" w:line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  <w:bookmarkStart w:id="93" w:name="_enb5tj5w0ofl"/>
      <w:bookmarkStart w:id="94" w:name="_enb5tj5w0ofl"/>
      <w:bookmarkEnd w:id="94"/>
    </w:p>
    <w:p>
      <w:pPr>
        <w:pStyle w:val="Normal"/>
        <w:spacing w:lineRule="auto" w:line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Конфликт интересов: отсутствует.</w:t>
      </w:r>
    </w:p>
    <w:p>
      <w:pPr>
        <w:pStyle w:val="Normal"/>
        <w:spacing w:lineRule="auto" w:line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  <w:r>
        <w:br w:type="page"/>
      </w:r>
    </w:p>
    <w:p>
      <w:pPr>
        <w:pStyle w:val="1"/>
        <w:keepLines/>
        <w:rPr/>
      </w:pPr>
      <w:bookmarkStart w:id="95" w:name="__RefHeading___Toc5055_2511029755"/>
      <w:bookmarkStart w:id="96" w:name="_Toc49964352"/>
      <w:bookmarkStart w:id="97" w:name="_2bn6wsx"/>
      <w:bookmarkEnd w:id="95"/>
      <w:bookmarkEnd w:id="97"/>
      <w:r>
        <w:rPr/>
        <w:t>Приложение А2. Методология разработки клинических рекомендаций</w:t>
      </w:r>
      <w:bookmarkEnd w:id="96"/>
    </w:p>
    <w:p>
      <w:pPr>
        <w:pStyle w:val="Normal"/>
        <w:spacing w:lineRule="auto" w:line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Целевая аудитория данных клинических рекомендаций:</w:t>
      </w:r>
    </w:p>
    <w:p>
      <w:pPr>
        <w:pStyle w:val="Normal"/>
        <w:numPr>
          <w:ilvl w:val="0"/>
          <w:numId w:val="7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Врачи-стоматологи общей практики 31.08.72</w:t>
      </w:r>
    </w:p>
    <w:p>
      <w:pPr>
        <w:pStyle w:val="Normal"/>
        <w:numPr>
          <w:ilvl w:val="0"/>
          <w:numId w:val="7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Врачи-стоматологи-терапевты 31.08.73</w:t>
      </w:r>
    </w:p>
    <w:p>
      <w:pPr>
        <w:pStyle w:val="Normal"/>
        <w:numPr>
          <w:ilvl w:val="0"/>
          <w:numId w:val="7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Врачи - стоматологи - хирурги 31.08.74</w:t>
      </w:r>
    </w:p>
    <w:p>
      <w:pPr>
        <w:pStyle w:val="Normal"/>
        <w:numPr>
          <w:ilvl w:val="0"/>
          <w:numId w:val="7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Врачи-стоматологи детские 31.08.76</w:t>
      </w:r>
    </w:p>
    <w:p>
      <w:pPr>
        <w:pStyle w:val="Normal"/>
        <w:numPr>
          <w:ilvl w:val="0"/>
          <w:numId w:val="7"/>
        </w:numPr>
        <w:spacing w:lineRule="auto" w:line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Врачи-ортодонты 31.08.77 </w:t>
      </w:r>
    </w:p>
    <w:p>
      <w:pPr>
        <w:pStyle w:val="Normal"/>
        <w:spacing w:lineRule="auto" w:line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 xml:space="preserve">Таблица 1 </w:t>
      </w:r>
      <w:r>
        <w:rPr>
          <w:rFonts w:eastAsia="Times New Roman"/>
          <w:b w:val="false"/>
          <w:bCs w:val="false"/>
          <w:sz w:val="24"/>
          <w:szCs w:val="24"/>
        </w:rPr>
        <w:t>Шкала оценки уровней достоверности доказательств (УДД) для методов диагностики (диагностических вмешательств)</w:t>
      </w:r>
    </w:p>
    <w:tbl>
      <w:tblPr>
        <w:tblW w:w="9346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529"/>
        <w:gridCol w:w="7816"/>
      </w:tblGrid>
      <w:tr>
        <w:trPr/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Style21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УДД</w:t>
            </w:r>
          </w:p>
        </w:tc>
        <w:tc>
          <w:tcPr>
            <w:tcW w:w="7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Style21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Расшифровка</w:t>
            </w:r>
          </w:p>
        </w:tc>
      </w:tr>
      <w:tr>
        <w:trPr/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Style21"/>
              <w:widowControl w:val="false"/>
              <w:spacing w:before="0" w:after="200"/>
              <w:jc w:val="center"/>
              <w:rPr/>
            </w:pPr>
            <w:r>
              <w:rPr/>
              <w:t>1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Style11"/>
              <w:widowControl w:val="false"/>
              <w:spacing w:lineRule="auto" w:line="276" w:before="0" w:after="140"/>
              <w:rPr/>
            </w:pPr>
            <w:r>
              <w:rPr/>
              <w:t>Систематические обзоры исследований с контролем  референсным методом или систематический обзор рандомизированных клинических исследований с применением мета - анализа</w:t>
            </w:r>
          </w:p>
        </w:tc>
      </w:tr>
      <w:tr>
        <w:trPr/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Style21"/>
              <w:widowControl w:val="false"/>
              <w:spacing w:before="0" w:after="200"/>
              <w:jc w:val="center"/>
              <w:rPr/>
            </w:pPr>
            <w:r>
              <w:rPr/>
              <w:t>2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Style11"/>
              <w:widowControl w:val="false"/>
              <w:spacing w:lineRule="auto" w:line="276" w:before="0" w:after="140"/>
              <w:rPr/>
            </w:pPr>
            <w:r>
              <w:rPr/>
              <w:t>Отдельные исследования с контролем референсным методом или отдельные рандоминизированные клинические исследования и систематические обзоры исследований любого дизайна, за исключением рандоминизированных клинических исследований, с применением мета - анализа</w:t>
            </w:r>
          </w:p>
        </w:tc>
      </w:tr>
      <w:tr>
        <w:trPr/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Style21"/>
              <w:widowControl w:val="false"/>
              <w:spacing w:before="0" w:after="200"/>
              <w:jc w:val="center"/>
              <w:rPr/>
            </w:pPr>
            <w:r>
              <w:rPr/>
              <w:t>3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Style11"/>
              <w:widowControl w:val="false"/>
              <w:spacing w:lineRule="auto" w:line="276" w:before="0" w:after="140"/>
              <w:rPr/>
            </w:pPr>
            <w:r>
              <w:rPr/>
              <w:t>Исследования без последовательного контроля референсным методом или исследования с референсным методом, не являющимся независимым от исследуемого метода или рандомизированные сравнительные исследования, в том числе когортные исследования</w:t>
            </w:r>
          </w:p>
        </w:tc>
      </w:tr>
      <w:tr>
        <w:trPr/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Style21"/>
              <w:widowControl w:val="false"/>
              <w:spacing w:before="0" w:after="200"/>
              <w:jc w:val="center"/>
              <w:rPr/>
            </w:pPr>
            <w:r>
              <w:rPr/>
              <w:t>4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Style11"/>
              <w:widowControl w:val="false"/>
              <w:spacing w:before="0" w:after="140"/>
              <w:rPr/>
            </w:pPr>
            <w:r>
              <w:rPr/>
              <w:t>Несравнительные исследования, описание клинического случая</w:t>
            </w:r>
          </w:p>
        </w:tc>
      </w:tr>
      <w:tr>
        <w:trPr/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Style21"/>
              <w:widowControl w:val="false"/>
              <w:spacing w:before="0" w:after="200"/>
              <w:jc w:val="center"/>
              <w:rPr/>
            </w:pPr>
            <w:r>
              <w:rPr/>
              <w:t>5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Style11"/>
              <w:widowControl w:val="false"/>
              <w:spacing w:before="0" w:after="140"/>
              <w:rPr/>
            </w:pPr>
            <w:r>
              <w:rPr/>
              <w:t>Имеются лишь обоснование механизма действия или мнение экспертов</w:t>
            </w:r>
          </w:p>
        </w:tc>
      </w:tr>
    </w:tbl>
    <w:p>
      <w:pPr>
        <w:pStyle w:val="Normal"/>
        <w:spacing w:lineRule="auto" w:line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 xml:space="preserve">Таблица 2 </w:t>
      </w:r>
      <w:r>
        <w:rPr>
          <w:rFonts w:eastAsia="Times New Roman"/>
          <w:b w:val="false"/>
          <w:bCs w:val="false"/>
          <w:sz w:val="24"/>
          <w:szCs w:val="24"/>
        </w:rPr>
        <w:t>Шкала оценки уровней достоверности доказательств (УДД) для методов профилактики, лечения и реабилитации (профилактических, лечебных, реабилитационных вмешательств)</w:t>
      </w:r>
    </w:p>
    <w:tbl>
      <w:tblPr>
        <w:tblW w:w="9346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529"/>
        <w:gridCol w:w="7816"/>
      </w:tblGrid>
      <w:tr>
        <w:trPr/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УДД</w:t>
            </w:r>
          </w:p>
        </w:tc>
        <w:tc>
          <w:tcPr>
            <w:tcW w:w="7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Расшифровка</w:t>
            </w:r>
          </w:p>
        </w:tc>
      </w:tr>
      <w:tr>
        <w:trPr/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center"/>
              <w:rPr/>
            </w:pPr>
            <w:r>
              <w:rPr/>
              <w:t>1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both"/>
              <w:rPr/>
            </w:pPr>
            <w:r>
              <w:rPr/>
              <w:t>Систематический обзор РКИ с применением мета - анализа</w:t>
            </w:r>
          </w:p>
        </w:tc>
      </w:tr>
      <w:tr>
        <w:trPr/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center"/>
              <w:rPr/>
            </w:pPr>
            <w:r>
              <w:rPr/>
              <w:t>2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both"/>
              <w:rPr/>
            </w:pPr>
            <w:r>
              <w:rPr/>
              <w:t>Отдельные РКИ и систематические обзоры исследований любого дизайна, за исключением РКИ, с применением мета - анализа</w:t>
            </w:r>
          </w:p>
        </w:tc>
      </w:tr>
      <w:tr>
        <w:trPr/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center"/>
              <w:rPr/>
            </w:pPr>
            <w:r>
              <w:rPr/>
              <w:t>3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both"/>
              <w:rPr/>
            </w:pPr>
            <w:r>
              <w:rPr/>
              <w:t>Нерандоминизированные сравнительные исследования, в т. ч. когортные исследования</w:t>
            </w:r>
          </w:p>
        </w:tc>
      </w:tr>
      <w:tr>
        <w:trPr/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center"/>
              <w:rPr/>
            </w:pPr>
            <w:r>
              <w:rPr/>
              <w:t>4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both"/>
              <w:rPr/>
            </w:pPr>
            <w:r>
              <w:rPr/>
              <w:t>Несравнительные исследования, описание клинического случая или серии случаев, исследование «случай - контроль»</w:t>
            </w:r>
          </w:p>
        </w:tc>
      </w:tr>
      <w:tr>
        <w:trPr/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center"/>
              <w:rPr/>
            </w:pPr>
            <w:r>
              <w:rPr/>
              <w:t>5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both"/>
              <w:rPr/>
            </w:pPr>
            <w:r>
              <w:rPr/>
              <w:t>Имеется лишь обоснование механизма действия вмешательства (доклинические исследования) или мнение экспертов</w:t>
            </w:r>
          </w:p>
        </w:tc>
      </w:tr>
    </w:tbl>
    <w:p>
      <w:pPr>
        <w:pStyle w:val="Normal"/>
        <w:spacing w:lineRule="auto" w:line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 xml:space="preserve">Таблица 3 </w:t>
      </w:r>
      <w:r>
        <w:rPr>
          <w:rFonts w:eastAsia="Times New Roman"/>
          <w:b w:val="false"/>
          <w:bCs w:val="false"/>
          <w:color w:val="000000"/>
          <w:sz w:val="24"/>
          <w:szCs w:val="24"/>
        </w:rPr>
        <w:t>Шкала оценки уровней убедительности рекомендаций (УУР) для методов профилактики, диагностики, лечения и реабилитации (профилактических, диагностических, лечебных, реабилитационных вмешательств)</w:t>
      </w:r>
    </w:p>
    <w:tbl>
      <w:tblPr>
        <w:tblW w:w="9346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529"/>
        <w:gridCol w:w="7816"/>
      </w:tblGrid>
      <w:tr>
        <w:trPr/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УРР</w:t>
            </w:r>
          </w:p>
        </w:tc>
        <w:tc>
          <w:tcPr>
            <w:tcW w:w="7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Расшифровка</w:t>
            </w:r>
          </w:p>
        </w:tc>
      </w:tr>
      <w:tr>
        <w:trPr/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center"/>
              <w:rPr/>
            </w:pPr>
            <w:r>
              <w:rPr/>
              <w:t>А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both"/>
              <w:rPr/>
            </w:pPr>
            <w:r>
              <w:rPr/>
              <w:t>Сильная рекомендация (все рассматриваемые критерии эффективности (исходы) являются важными, все исследования имеют высокое или удовлетворительное методологическое качество, их выводы по интересующим исходам являются согласованными)</w:t>
            </w:r>
          </w:p>
        </w:tc>
      </w:tr>
      <w:tr>
        <w:trPr/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center"/>
              <w:rPr/>
            </w:pPr>
            <w:r>
              <w:rPr/>
              <w:t>В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both"/>
              <w:rPr/>
            </w:pPr>
            <w:r>
              <w:rPr/>
              <w:t>Условная рекомендация (не все рассматриваемые критерии эффективности (исходы) являются важными, не все исследования имеют высокое или удовлетворительное методологическое качество и/илиих выводы по интересующим исходам не являются согласованными)</w:t>
            </w:r>
          </w:p>
        </w:tc>
      </w:tr>
      <w:tr>
        <w:trPr/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center"/>
              <w:rPr/>
            </w:pPr>
            <w:r>
              <w:rPr/>
              <w:t>С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both"/>
              <w:rPr/>
            </w:pPr>
            <w:r>
              <w:rPr/>
              <w:t>Слабая рекомендация (отсутствие доказательств надлежащего качества (все рассматриваемые критерии эффективности (исходы) являются не важными, все исследования имеют низкое методологическое качество и их выводы по интересующим нас исходам не являются согласованными)</w:t>
            </w:r>
          </w:p>
        </w:tc>
      </w:tr>
    </w:tbl>
    <w:p>
      <w:pPr>
        <w:pStyle w:val="Normal"/>
        <w:spacing w:lineRule="auto" w:line="360" w:before="280" w:after="280"/>
        <w:jc w:val="both"/>
        <w:rPr>
          <w:b w:val="false"/>
          <w:b w:val="false"/>
          <w:bCs w:val="false"/>
          <w:color w:val="000000"/>
        </w:rPr>
      </w:pPr>
      <w:r>
        <w:rPr>
          <w:b w:val="false"/>
          <w:bCs w:val="false"/>
          <w:color w:val="000000"/>
        </w:rPr>
      </w:r>
    </w:p>
    <w:p>
      <w:pPr>
        <w:pStyle w:val="Normal"/>
        <w:spacing w:lineRule="auto" w:line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b/>
          <w:color w:val="000000"/>
          <w:sz w:val="24"/>
          <w:szCs w:val="24"/>
        </w:rPr>
        <w:t xml:space="preserve">Порядок обновления клинических рекомендаций – </w:t>
      </w:r>
      <w:r>
        <w:rPr>
          <w:rFonts w:eastAsia="Times New Roman"/>
          <w:b w:val="false"/>
          <w:bCs w:val="false"/>
          <w:color w:val="000000"/>
          <w:sz w:val="24"/>
          <w:szCs w:val="24"/>
        </w:rPr>
        <w:t>пересмотр 1 раз в 3 года, при появлении новых данных с позиции доказательной медицины по вопросам диагностики, лечения, профилактики и реабилитации конкретных заболеваний, наличии обоснованных дополнений/замечаний к ранее утвержденным КР, на не чаще 1 раза в 6 месяцев.</w:t>
      </w:r>
    </w:p>
    <w:p>
      <w:pPr>
        <w:pStyle w:val="Normal"/>
        <w:spacing w:lineRule="auto" w:line="360" w:before="0" w:after="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</w:r>
      <w:bookmarkStart w:id="98" w:name="_qsh70q"/>
      <w:bookmarkStart w:id="99" w:name="_qsh70q"/>
      <w:bookmarkEnd w:id="99"/>
      <w:r>
        <w:br w:type="page"/>
      </w:r>
    </w:p>
    <w:p>
      <w:pPr>
        <w:pStyle w:val="1"/>
        <w:keepLines/>
        <w:spacing w:before="0" w:after="0"/>
        <w:rPr/>
      </w:pPr>
      <w:bookmarkStart w:id="100" w:name="__RefHeading___Toc5057_2511029755"/>
      <w:bookmarkStart w:id="101" w:name="_Toc49964353"/>
      <w:bookmarkEnd w:id="100"/>
      <w:r>
        <w:rPr/>
        <w:t xml:space="preserve">Приложение Б. Алгоритмы </w:t>
      </w:r>
      <w:bookmarkEnd w:id="101"/>
      <w:r>
        <w:rPr/>
        <w:t>действий врача</w:t>
      </w:r>
    </w:p>
    <w:p>
      <w:pPr>
        <w:pStyle w:val="Normal"/>
        <w:keepLines/>
        <w:rPr>
          <w:rFonts w:eastAsia="Times New Roman"/>
        </w:rPr>
      </w:pPr>
      <w:r>
        <w:rPr>
          <w:rFonts w:eastAsia="Times New Roman"/>
        </w:rPr>
        <mc:AlternateContent>
          <mc:Choice Requires="wps">
            <w:drawing>
              <wp:anchor behindDoc="0" distT="0" distB="0" distL="0" distR="0" simplePos="0" locked="0" layoutInCell="0" allowOverlap="1" relativeHeight="34" wp14:anchorId="37134E76">
                <wp:simplePos x="0" y="0"/>
                <wp:positionH relativeFrom="column">
                  <wp:posOffset>1282700</wp:posOffset>
                </wp:positionH>
                <wp:positionV relativeFrom="paragraph">
                  <wp:posOffset>59690</wp:posOffset>
                </wp:positionV>
                <wp:extent cx="2604135" cy="260985"/>
                <wp:effectExtent l="0" t="0" r="28575" b="28575"/>
                <wp:wrapNone/>
                <wp:docPr id="1" name="Надпись 8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3520" cy="260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7"/>
                              <w:spacing w:before="0" w:after="200"/>
                              <w:jc w:val="center"/>
                              <w:rPr/>
                            </w:pPr>
                            <w:r>
                              <w:rPr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Пациент с подозрением на кисту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82" fillcolor="white" stroked="t" style="position:absolute;margin-left:101pt;margin-top:4.7pt;width:204.95pt;height:20.45pt;v-text-anchor:top" wp14:anchorId="37134E76">
                <w10:wrap type="none"/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Style17"/>
                        <w:spacing w:before="0" w:after="200"/>
                        <w:jc w:val="center"/>
                        <w:rPr/>
                      </w:pPr>
                      <w:r>
                        <w:rPr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Пациент с подозрением на кисту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keepLines/>
        <w:rPr>
          <w:rFonts w:eastAsia="Times New Roman"/>
        </w:rPr>
      </w:pPr>
      <w:r>
        <w:rPr>
          <w:rFonts w:eastAsia="Times New Roman"/>
        </w:rPr>
        <mc:AlternateContent>
          <mc:Choice Requires="wps">
            <w:drawing>
              <wp:anchor behindDoc="0" distT="0" distB="0" distL="0" distR="0" simplePos="0" locked="0" layoutInCell="0" allowOverlap="1" relativeHeight="33" wp14:anchorId="389EF634">
                <wp:simplePos x="0" y="0"/>
                <wp:positionH relativeFrom="column">
                  <wp:posOffset>2578100</wp:posOffset>
                </wp:positionH>
                <wp:positionV relativeFrom="paragraph">
                  <wp:posOffset>88265</wp:posOffset>
                </wp:positionV>
                <wp:extent cx="4445" cy="270510"/>
                <wp:effectExtent l="76200" t="0" r="57150" b="57150"/>
                <wp:wrapNone/>
                <wp:docPr id="3" name="Прямая со стрелкой 5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0" cy="2700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3" wp14:anchorId="7EF54090">
                <wp:simplePos x="0" y="0"/>
                <wp:positionH relativeFrom="column">
                  <wp:posOffset>1301750</wp:posOffset>
                </wp:positionH>
                <wp:positionV relativeFrom="paragraph">
                  <wp:posOffset>128905</wp:posOffset>
                </wp:positionV>
                <wp:extent cx="2489835" cy="251460"/>
                <wp:effectExtent l="0" t="0" r="28575" b="19050"/>
                <wp:wrapNone/>
                <wp:docPr id="4" name="Прямоугольник 5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9040" cy="2509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round/>
                        </a:ln>
                        <a:effectLst>
                          <a:outerShdw blurRad="40000" dir="5400000" dist="2304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7"/>
                              <w:spacing w:before="0" w:after="200"/>
                              <w:jc w:val="center"/>
                              <w:rPr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Диагностика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51" fillcolor="white" stroked="t" style="position:absolute;margin-left:102.5pt;margin-top:10.15pt;width:195.95pt;height:19.7pt;v-text-anchor:middle" wp14:anchorId="7EF54090">
                <w10:wrap type="none"/>
                <v:fill o:detectmouseclick="t" type="solid" color2="black"/>
                <v:stroke color="black" weight="9360" joinstyle="round" endcap="flat"/>
                <v:shadow on="t" obscured="f" color="black"/>
                <v:textbox>
                  <w:txbxContent>
                    <w:p>
                      <w:pPr>
                        <w:pStyle w:val="Style17"/>
                        <w:spacing w:before="0" w:after="200"/>
                        <w:jc w:val="center"/>
                        <w:rPr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Диагностика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30" wp14:anchorId="764A4125">
                <wp:simplePos x="0" y="0"/>
                <wp:positionH relativeFrom="column">
                  <wp:posOffset>1130300</wp:posOffset>
                </wp:positionH>
                <wp:positionV relativeFrom="paragraph">
                  <wp:posOffset>283845</wp:posOffset>
                </wp:positionV>
                <wp:extent cx="2346960" cy="7299960"/>
                <wp:effectExtent l="1562100" t="76200" r="19050" b="19050"/>
                <wp:wrapNone/>
                <wp:docPr id="6" name="Соединительная линия уступом 2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2346480" cy="7299360"/>
                        </a:xfrm>
                        <a:prstGeom prst="bentConnector3">
                          <a:avLst>
                            <a:gd name="adj1" fmla="val 166279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shapetype_34" coordsize="21600,21600" o:spt="34" adj="10800" path="m,l@0,l@0,21600l21600,21600nfe">
                <v:stroke joinstyle="miter"/>
                <v:formulas>
                  <v:f eqn="val #0"/>
                </v:formulas>
                <v:path gradientshapeok="t" o:connecttype="rect" textboxrect="0,0,21600,21600"/>
                <v:handles>
                  <v:h position="@0,10800"/>
                </v:handles>
              </v:shapetype>
              <v:shape id="shape_0" ID="Соединительная линия уступом 27" stroked="t" style="position:absolute;margin-left:89pt;margin-top:22.35pt;width:184.7pt;height:574.7pt;flip:xy;v-text-anchor:middle" wp14:anchorId="764A4125" type="shapetype_34">
                <w10:wrap type="none"/>
                <v:fill o:detectmouseclick="t" on="false"/>
                <v:stroke color="black" weight="9360" endarrow="block" endarrowwidth="medium" endarrowlength="medium" joinstyle="round" endcap="flat"/>
              </v:shape>
            </w:pict>
          </mc:Fallback>
        </mc:AlternateContent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4" wp14:anchorId="49219B55">
                <wp:simplePos x="0" y="0"/>
                <wp:positionH relativeFrom="column">
                  <wp:posOffset>1471295</wp:posOffset>
                </wp:positionH>
                <wp:positionV relativeFrom="paragraph">
                  <wp:posOffset>168910</wp:posOffset>
                </wp:positionV>
                <wp:extent cx="337185" cy="156210"/>
                <wp:effectExtent l="38100" t="0" r="28575" b="57150"/>
                <wp:wrapNone/>
                <wp:docPr id="7" name="Прямая со стрелкой 5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36600" cy="1555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3175">
                          <a:round/>
                          <a:tailEnd len="med" type="triangle" w="med"/>
                        </a:ln>
                        <a:effectLst>
                          <a:outerShdw blurRad="40000" dir="5400000" dist="2016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5" wp14:anchorId="3C5EEDA4">
                <wp:simplePos x="0" y="0"/>
                <wp:positionH relativeFrom="column">
                  <wp:posOffset>2997200</wp:posOffset>
                </wp:positionH>
                <wp:positionV relativeFrom="paragraph">
                  <wp:posOffset>168910</wp:posOffset>
                </wp:positionV>
                <wp:extent cx="356235" cy="156210"/>
                <wp:effectExtent l="0" t="0" r="66675" b="57150"/>
                <wp:wrapNone/>
                <wp:docPr id="8" name="Прямая со стрелкой 5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80" cy="1555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2" wp14:anchorId="78F2FF99">
                <wp:simplePos x="0" y="0"/>
                <wp:positionH relativeFrom="column">
                  <wp:posOffset>758825</wp:posOffset>
                </wp:positionH>
                <wp:positionV relativeFrom="paragraph">
                  <wp:posOffset>67310</wp:posOffset>
                </wp:positionV>
                <wp:extent cx="1070610" cy="260985"/>
                <wp:effectExtent l="0" t="0" r="19050" b="28575"/>
                <wp:wrapNone/>
                <wp:docPr id="9" name="Прямоугольник 5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9920" cy="2602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round/>
                        </a:ln>
                        <a:effectLst>
                          <a:outerShdw blurRad="40000" dir="5400000" dist="2304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7"/>
                              <w:spacing w:before="0" w:after="200"/>
                              <w:jc w:val="center"/>
                              <w:rPr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Осмотр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50" fillcolor="white" stroked="t" style="position:absolute;margin-left:59.75pt;margin-top:5.3pt;width:84.2pt;height:20.45pt;v-text-anchor:middle" wp14:anchorId="78F2FF99">
                <w10:wrap type="none"/>
                <v:fill o:detectmouseclick="t" type="solid" color2="black"/>
                <v:stroke color="black" weight="9360" joinstyle="round" endcap="flat"/>
                <v:shadow on="t" obscured="f" color="black"/>
                <v:textbox>
                  <w:txbxContent>
                    <w:p>
                      <w:pPr>
                        <w:pStyle w:val="Style17"/>
                        <w:spacing w:before="0" w:after="200"/>
                        <w:jc w:val="center"/>
                        <w:rPr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Осмотр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6" wp14:anchorId="77AE3581">
                <wp:simplePos x="0" y="0"/>
                <wp:positionH relativeFrom="column">
                  <wp:posOffset>2863850</wp:posOffset>
                </wp:positionH>
                <wp:positionV relativeFrom="paragraph">
                  <wp:posOffset>57785</wp:posOffset>
                </wp:positionV>
                <wp:extent cx="1251585" cy="270510"/>
                <wp:effectExtent l="0" t="0" r="28575" b="19050"/>
                <wp:wrapNone/>
                <wp:docPr id="11" name="Прямоугольник 6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1000" cy="270000"/>
                        </a:xfrm>
                        <a:prstGeom prst="rect">
                          <a:avLst/>
                        </a:prstGeom>
                        <a:ln w="3175"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7"/>
                              <w:spacing w:before="0" w:after="20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Опрос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60" fillcolor="white" stroked="t" style="position:absolute;margin-left:225.5pt;margin-top:4.55pt;width:98.45pt;height:21.2pt;v-text-anchor:middle" wp14:anchorId="77AE3581">
                <w10:wrap type="none"/>
                <v:fill o:detectmouseclick="t" type="solid" color2="black"/>
                <v:stroke color="black" weight="3240" joinstyle="round" endcap="flat"/>
                <v:textbox>
                  <w:txbxContent>
                    <w:p>
                      <w:pPr>
                        <w:pStyle w:val="Style17"/>
                        <w:spacing w:before="0" w:after="20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Опрос</w:t>
                      </w:r>
                    </w:p>
                  </w:txbxContent>
                </v:textbox>
              </v:rect>
            </w:pict>
          </mc:Fallback>
        </mc:AlternateContent>
      </w:r>
      <w:bookmarkStart w:id="102" w:name="_1ce8218lh4f8"/>
      <w:bookmarkStart w:id="103" w:name="_1ce8218lh4f8"/>
      <w:bookmarkEnd w:id="103"/>
    </w:p>
    <w:p>
      <w:pPr>
        <w:pStyle w:val="1"/>
        <w:keepLines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9" wp14:anchorId="4D4B1574">
                <wp:simplePos x="0" y="0"/>
                <wp:positionH relativeFrom="column">
                  <wp:posOffset>1053465</wp:posOffset>
                </wp:positionH>
                <wp:positionV relativeFrom="paragraph">
                  <wp:posOffset>245745</wp:posOffset>
                </wp:positionV>
                <wp:extent cx="3810" cy="1270"/>
                <wp:effectExtent l="0" t="0" r="19050" b="19050"/>
                <wp:wrapNone/>
                <wp:docPr id="13" name="Прямая соединительная линия 6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24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round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82.95pt,19.35pt" to="83.15pt,19.35pt" ID="Прямая соединительная линия 64" stroked="t" style="position:absolute;flip:x" wp14:anchorId="4D4B1574">
                <v:stroke color="black" weight="3240" joinstyle="round" endcap="flat"/>
                <v:fill o:detectmouseclick="t" on="false"/>
                <v:shadow on="t" obscured="f" color="black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0" wp14:anchorId="0860031B">
                <wp:simplePos x="0" y="0"/>
                <wp:positionH relativeFrom="column">
                  <wp:posOffset>3387090</wp:posOffset>
                </wp:positionH>
                <wp:positionV relativeFrom="paragraph">
                  <wp:posOffset>245745</wp:posOffset>
                </wp:positionV>
                <wp:extent cx="3810" cy="1270"/>
                <wp:effectExtent l="0" t="0" r="19050" b="19050"/>
                <wp:wrapNone/>
                <wp:docPr id="14" name="Прямая соединительная линия 6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24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round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66.7pt,19.35pt" to="266.9pt,19.35pt" ID="Прямая соединительная линия 67" stroked="t" style="position:absolute;flip:x" wp14:anchorId="0860031B">
                <v:stroke color="black" weight="3240" joinstyle="round" endcap="flat"/>
                <v:fill o:detectmouseclick="t" on="false"/>
                <v:shadow on="t" obscured="f" color="black"/>
              </v:line>
            </w:pict>
          </mc:Fallback>
        </mc:AlternateContent>
      </w:r>
      <w:bookmarkStart w:id="104" w:name="_Toc49964354"/>
      <w:bookmarkStart w:id="105" w:name="_Toc49964354"/>
      <w:bookmarkEnd w:id="105"/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11" wp14:anchorId="25B37BE9">
                <wp:simplePos x="0" y="0"/>
                <wp:positionH relativeFrom="column">
                  <wp:posOffset>1216025</wp:posOffset>
                </wp:positionH>
                <wp:positionV relativeFrom="paragraph">
                  <wp:posOffset>80010</wp:posOffset>
                </wp:positionV>
                <wp:extent cx="2337435" cy="1270"/>
                <wp:effectExtent l="0" t="0" r="28575" b="19050"/>
                <wp:wrapNone/>
                <wp:docPr id="15" name="Прямая соединительная линия 6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676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round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95.75pt,6.3pt" to="279.7pt,6.3pt" ID="Прямая соединительная линия 68" stroked="t" style="position:absolute" wp14:anchorId="25B37BE9">
                <v:stroke color="black" weight="3240" joinstyle="round" endcap="flat"/>
                <v:fill o:detectmouseclick="t" on="false"/>
                <v:shadow on="t" obscured="f" color="black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2" wp14:anchorId="3A57C9A0">
                <wp:simplePos x="0" y="0"/>
                <wp:positionH relativeFrom="column">
                  <wp:posOffset>2530475</wp:posOffset>
                </wp:positionH>
                <wp:positionV relativeFrom="paragraph">
                  <wp:posOffset>142240</wp:posOffset>
                </wp:positionV>
                <wp:extent cx="4445" cy="365760"/>
                <wp:effectExtent l="76200" t="0" r="76200" b="57150"/>
                <wp:wrapNone/>
                <wp:docPr id="16" name="Прямая со стрелкой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0" cy="3650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8" wp14:anchorId="1E3168FE">
                <wp:simplePos x="0" y="0"/>
                <wp:positionH relativeFrom="column">
                  <wp:posOffset>1539875</wp:posOffset>
                </wp:positionH>
                <wp:positionV relativeFrom="paragraph">
                  <wp:posOffset>-27305</wp:posOffset>
                </wp:positionV>
                <wp:extent cx="2013585" cy="1242060"/>
                <wp:effectExtent l="0" t="0" r="28575" b="19050"/>
                <wp:wrapNone/>
                <wp:docPr id="17" name="Ромб 6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3120" cy="1241280"/>
                        </a:xfrm>
                        <a:prstGeom prst="diamond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round/>
                        </a:ln>
                        <a:effectLst>
                          <a:outerShdw blurRad="40000" dir="5400000" dist="2304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7"/>
                              <w:spacing w:before="0" w:after="200"/>
                              <w:jc w:val="center"/>
                              <w:rPr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Диагноз подтвержден?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shapetype_4" coordsize="21600,21600" o:spt="4" path="m,10800l10800,l21600,10800l10800,21600xe">
                <v:stroke joinstyle="miter"/>
                <v:formulas>
                  <v:f eqn="prod width 3 4"/>
                  <v:f eqn="prod height 3 4"/>
                </v:formulas>
                <v:path gradientshapeok="t" o:connecttype="rect" textboxrect="5400,5400,@0,@1"/>
              </v:shapetype>
              <v:shape id="shape_0" ID="Ромб 62" fillcolor="white" stroked="t" style="position:absolute;margin-left:121.25pt;margin-top:-2.15pt;width:158.45pt;height:97.7pt;v-text-anchor:middle" wp14:anchorId="1E3168FE" type="shapetype_4">
                <w10:wrap type="none"/>
                <v:fill o:detectmouseclick="t" type="solid" color2="black"/>
                <v:stroke color="black" weight="9360" joinstyle="round" endcap="flat"/>
                <v:shadow on="t" obscured="f" color="black"/>
                <v:textbox>
                  <w:txbxContent>
                    <w:p>
                      <w:pPr>
                        <w:pStyle w:val="Style17"/>
                        <w:spacing w:before="0" w:after="200"/>
                        <w:jc w:val="center"/>
                        <w:rPr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Диагноз подтвержден?</w:t>
                      </w:r>
                    </w:p>
                  </w:txbxContent>
                </v:textbox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5" wp14:anchorId="6B5E21E6">
                <wp:simplePos x="0" y="0"/>
                <wp:positionH relativeFrom="column">
                  <wp:posOffset>-288925</wp:posOffset>
                </wp:positionH>
                <wp:positionV relativeFrom="paragraph">
                  <wp:posOffset>131445</wp:posOffset>
                </wp:positionV>
                <wp:extent cx="1080135" cy="803910"/>
                <wp:effectExtent l="0" t="0" r="28575" b="19050"/>
                <wp:wrapNone/>
                <wp:docPr id="19" name="Надпись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640" cy="803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7"/>
                              <w:spacing w:before="0" w:after="20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Поиск других причин или снятие диагноза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6" fillcolor="white" stroked="t" style="position:absolute;margin-left:-22.75pt;margin-top:10.35pt;width:84.95pt;height:63.2pt;v-text-anchor:top" wp14:anchorId="6B5E21E6">
                <w10:wrap type="none"/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Style17"/>
                        <w:spacing w:before="0" w:after="20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Поиск других причин или снятие диагноза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tabs>
          <w:tab w:val="clear" w:pos="720"/>
          <w:tab w:val="left" w:pos="2220" w:leader="none"/>
          <w:tab w:val="left" w:pos="6390" w:leader="none"/>
        </w:tabs>
        <w:rPr/>
      </w:pPr>
      <w:r>
        <mc:AlternateContent>
          <mc:Choice Requires="wps">
            <w:drawing>
              <wp:anchor behindDoc="0" distT="0" distB="0" distL="0" distR="0" simplePos="0" locked="0" layoutInCell="0" allowOverlap="1" relativeHeight="7" wp14:anchorId="4F572470">
                <wp:simplePos x="0" y="0"/>
                <wp:positionH relativeFrom="column">
                  <wp:posOffset>4248150</wp:posOffset>
                </wp:positionH>
                <wp:positionV relativeFrom="paragraph">
                  <wp:posOffset>69215</wp:posOffset>
                </wp:positionV>
                <wp:extent cx="1070610" cy="327660"/>
                <wp:effectExtent l="0" t="0" r="19050" b="19050"/>
                <wp:wrapNone/>
                <wp:docPr id="21" name="Прямоугольник 6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9920" cy="3268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round/>
                        </a:ln>
                        <a:effectLst>
                          <a:outerShdw blurRad="40000" dir="5400000" dist="2304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7"/>
                              <w:spacing w:before="0" w:after="200"/>
                              <w:jc w:val="center"/>
                              <w:rPr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Лечение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61" fillcolor="white" stroked="t" style="position:absolute;margin-left:334.5pt;margin-top:5.45pt;width:84.2pt;height:25.7pt;v-text-anchor:middle" wp14:anchorId="4F572470">
                <w10:wrap type="none"/>
                <v:fill o:detectmouseclick="t" type="solid" color2="black"/>
                <v:stroke color="black" weight="9360" joinstyle="round" endcap="flat"/>
                <v:shadow on="t" obscured="f" color="black"/>
                <v:textbox>
                  <w:txbxContent>
                    <w:p>
                      <w:pPr>
                        <w:pStyle w:val="Style17"/>
                        <w:spacing w:before="0" w:after="200"/>
                        <w:jc w:val="center"/>
                        <w:rPr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Лечение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3" wp14:anchorId="579CCE77">
                <wp:simplePos x="0" y="0"/>
                <wp:positionH relativeFrom="column">
                  <wp:posOffset>3616325</wp:posOffset>
                </wp:positionH>
                <wp:positionV relativeFrom="paragraph">
                  <wp:posOffset>248285</wp:posOffset>
                </wp:positionV>
                <wp:extent cx="546735" cy="4445"/>
                <wp:effectExtent l="0" t="76200" r="9525" b="95250"/>
                <wp:wrapNone/>
                <wp:docPr id="23" name="Прямая со стрелкой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120" cy="39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4" wp14:anchorId="7CAE53A9">
                <wp:simplePos x="0" y="0"/>
                <wp:positionH relativeFrom="column">
                  <wp:posOffset>899160</wp:posOffset>
                </wp:positionH>
                <wp:positionV relativeFrom="paragraph">
                  <wp:posOffset>257810</wp:posOffset>
                </wp:positionV>
                <wp:extent cx="575310" cy="4445"/>
                <wp:effectExtent l="38100" t="76200" r="0" b="95250"/>
                <wp:wrapNone/>
                <wp:docPr id="24" name="Прямая со стрелкой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74560" cy="39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8" wp14:anchorId="43FB2E5B">
                <wp:simplePos x="0" y="0"/>
                <wp:positionH relativeFrom="column">
                  <wp:posOffset>4864100</wp:posOffset>
                </wp:positionH>
                <wp:positionV relativeFrom="paragraph">
                  <wp:posOffset>3044190</wp:posOffset>
                </wp:positionV>
                <wp:extent cx="1270635" cy="441960"/>
                <wp:effectExtent l="0" t="0" r="28575" b="19050"/>
                <wp:wrapNone/>
                <wp:docPr id="25" name="Надпись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80" cy="441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7"/>
                              <w:spacing w:before="0" w:after="20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Консервативное лечение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14" fillcolor="white" stroked="t" style="position:absolute;margin-left:383pt;margin-top:239.7pt;width:99.95pt;height:34.7pt;v-text-anchor:top" wp14:anchorId="43FB2E5B">
                <w10:wrap type="none"/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Style17"/>
                        <w:spacing w:before="0" w:after="20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Консервативное лечение</w:t>
                      </w:r>
                    </w:p>
                  </w:txbxContent>
                </v:textbox>
              </v:rect>
            </w:pict>
          </mc:Fallback>
        </mc:AlternateContent>
      </w:r>
      <w:r>
        <w:rPr/>
        <w:t xml:space="preserve">                              </w:t>
      </w:r>
      <w:r>
        <w:rPr/>
        <w:t>Нет</w:t>
        <w:tab/>
        <w:t xml:space="preserve">                                                                  Да</w:t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16" wp14:anchorId="07157FB4">
                <wp:simplePos x="0" y="0"/>
                <wp:positionH relativeFrom="column">
                  <wp:posOffset>4702175</wp:posOffset>
                </wp:positionH>
                <wp:positionV relativeFrom="paragraph">
                  <wp:posOffset>109220</wp:posOffset>
                </wp:positionV>
                <wp:extent cx="4445" cy="480060"/>
                <wp:effectExtent l="76200" t="0" r="57150" b="57150"/>
                <wp:wrapNone/>
                <wp:docPr id="27" name="Прямая со стрелкой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0" cy="4795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31" wp14:anchorId="3BD41477">
                <wp:simplePos x="0" y="0"/>
                <wp:positionH relativeFrom="column">
                  <wp:posOffset>149225</wp:posOffset>
                </wp:positionH>
                <wp:positionV relativeFrom="paragraph">
                  <wp:posOffset>40640</wp:posOffset>
                </wp:positionV>
                <wp:extent cx="670560" cy="3442335"/>
                <wp:effectExtent l="76200" t="38100" r="19050" b="28575"/>
                <wp:wrapNone/>
                <wp:docPr id="28" name="Соединительная линия уступом 2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669960" cy="3441600"/>
                        </a:xfrm>
                        <a:prstGeom prst="bentConnector3">
                          <a:avLst>
                            <a:gd name="adj1" fmla="val 100000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Соединительная линия уступом 28" stroked="t" style="position:absolute;margin-left:11.75pt;margin-top:3.2pt;width:52.7pt;height:270.95pt;flip:xy;v-text-anchor:middle" wp14:anchorId="3BD41477" type="shapetype_34">
                <w10:wrap type="none"/>
                <v:fill o:detectmouseclick="t" on="false"/>
                <v:stroke color="black" weight="9360" endarrow="block" endarrowwidth="medium" endarrowlength="medium" joinstyle="round" endcap="flat"/>
              </v:shape>
            </w:pict>
          </mc:Fallback>
        </mc:AlternateContent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17" wp14:anchorId="7CB2FCFB">
                <wp:simplePos x="0" y="0"/>
                <wp:positionH relativeFrom="column">
                  <wp:posOffset>3663950</wp:posOffset>
                </wp:positionH>
                <wp:positionV relativeFrom="paragraph">
                  <wp:posOffset>39370</wp:posOffset>
                </wp:positionV>
                <wp:extent cx="2023110" cy="1584960"/>
                <wp:effectExtent l="0" t="0" r="19050" b="19050"/>
                <wp:wrapNone/>
                <wp:docPr id="29" name="Ромб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2480" cy="1584360"/>
                        </a:xfrm>
                        <a:prstGeom prst="diamond">
                          <a:avLst/>
                        </a:prstGeom>
                        <a:ln w="3175"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7"/>
                              <w:spacing w:before="0" w:after="20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Есть ли показания к хирургическому лечению?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Ромб 9" fillcolor="white" stroked="t" style="position:absolute;margin-left:288.5pt;margin-top:3.1pt;width:159.2pt;height:124.7pt;v-text-anchor:middle" wp14:anchorId="7CB2FCFB" type="shapetype_4">
                <w10:wrap type="none"/>
                <v:fill o:detectmouseclick="t" type="solid" color2="black"/>
                <v:stroke color="black" weight="3240" joinstyle="round" endcap="flat"/>
                <v:textbox>
                  <w:txbxContent>
                    <w:p>
                      <w:pPr>
                        <w:pStyle w:val="Style17"/>
                        <w:spacing w:before="0" w:after="20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Есть ли показания к хирургическому лечению?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20" wp14:anchorId="115D8156">
                <wp:simplePos x="0" y="0"/>
                <wp:positionH relativeFrom="column">
                  <wp:posOffset>1577975</wp:posOffset>
                </wp:positionH>
                <wp:positionV relativeFrom="paragraph">
                  <wp:posOffset>225425</wp:posOffset>
                </wp:positionV>
                <wp:extent cx="1346835" cy="661035"/>
                <wp:effectExtent l="0" t="0" r="28575" b="28575"/>
                <wp:wrapNone/>
                <wp:docPr id="31" name="Надпись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6040" cy="660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7"/>
                              <w:spacing w:before="0" w:after="20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Проведение хирургического вмешательства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16" fillcolor="white" stroked="t" style="position:absolute;margin-left:124.25pt;margin-top:17.75pt;width:105.95pt;height:51.95pt;v-text-anchor:top" wp14:anchorId="115D8156">
                <w10:wrap type="none"/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Style17"/>
                        <w:spacing w:before="0" w:after="20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Проведение хирургического вмешательства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jc w:val="center"/>
        <w:rPr/>
      </w:pPr>
      <w:r>
        <mc:AlternateContent>
          <mc:Choice Requires="wps">
            <w:drawing>
              <wp:anchor behindDoc="0" distT="0" distB="0" distL="0" distR="0" simplePos="0" locked="0" layoutInCell="0" allowOverlap="1" relativeHeight="19" wp14:anchorId="0E27F743">
                <wp:simplePos x="0" y="0"/>
                <wp:positionH relativeFrom="column">
                  <wp:posOffset>2994660</wp:posOffset>
                </wp:positionH>
                <wp:positionV relativeFrom="paragraph">
                  <wp:posOffset>247015</wp:posOffset>
                </wp:positionV>
                <wp:extent cx="556260" cy="4445"/>
                <wp:effectExtent l="38100" t="76200" r="0" b="95250"/>
                <wp:wrapNone/>
                <wp:docPr id="33" name="Прямая со стрелкой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55480" cy="39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22" wp14:anchorId="642C110F">
                <wp:simplePos x="0" y="0"/>
                <wp:positionH relativeFrom="column">
                  <wp:posOffset>2206625</wp:posOffset>
                </wp:positionH>
                <wp:positionV relativeFrom="paragraph">
                  <wp:posOffset>1485265</wp:posOffset>
                </wp:positionV>
                <wp:extent cx="4445" cy="337185"/>
                <wp:effectExtent l="76200" t="0" r="76200" b="47625"/>
                <wp:wrapNone/>
                <wp:docPr id="34" name="Прямая со стрелкой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0" cy="3366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26" wp14:anchorId="3D612E93">
                <wp:simplePos x="0" y="0"/>
                <wp:positionH relativeFrom="column">
                  <wp:posOffset>3997325</wp:posOffset>
                </wp:positionH>
                <wp:positionV relativeFrom="paragraph">
                  <wp:posOffset>2332990</wp:posOffset>
                </wp:positionV>
                <wp:extent cx="1356360" cy="489585"/>
                <wp:effectExtent l="0" t="0" r="19050" b="28575"/>
                <wp:wrapNone/>
                <wp:docPr id="35" name="Надпись 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5760" cy="48888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rou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7"/>
                              <w:spacing w:before="0" w:after="20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Диспансерное наблюдение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23" fillcolor="white" stroked="t" style="position:absolute;margin-left:314.75pt;margin-top:183.7pt;width:106.7pt;height:38.45pt;v-text-anchor:top" wp14:anchorId="3D612E93">
                <w10:wrap type="none"/>
                <v:fill o:detectmouseclick="t" type="solid" color2="black"/>
                <v:stroke color="black" weight="3240" joinstyle="round" endcap="flat"/>
                <v:textbox>
                  <w:txbxContent>
                    <w:p>
                      <w:pPr>
                        <w:pStyle w:val="Style17"/>
                        <w:spacing w:before="0" w:after="20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Диспансерное наблюдение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27" wp14:anchorId="5E3793D2">
                <wp:simplePos x="0" y="0"/>
                <wp:positionH relativeFrom="column">
                  <wp:posOffset>4664075</wp:posOffset>
                </wp:positionH>
                <wp:positionV relativeFrom="paragraph">
                  <wp:posOffset>2894965</wp:posOffset>
                </wp:positionV>
                <wp:extent cx="4445" cy="289560"/>
                <wp:effectExtent l="76200" t="0" r="57150" b="57150"/>
                <wp:wrapNone/>
                <wp:docPr id="37" name="Прямая со стрелкой 2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0" cy="28908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29" wp14:anchorId="466520FF">
                <wp:simplePos x="0" y="0"/>
                <wp:positionH relativeFrom="column">
                  <wp:posOffset>5340350</wp:posOffset>
                </wp:positionH>
                <wp:positionV relativeFrom="paragraph">
                  <wp:posOffset>2543810</wp:posOffset>
                </wp:positionV>
                <wp:extent cx="384810" cy="1327785"/>
                <wp:effectExtent l="38100" t="76200" r="381000" b="28575"/>
                <wp:wrapNone/>
                <wp:docPr id="38" name="Соединительная линия уступом 2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384120" cy="1327320"/>
                        </a:xfrm>
                        <a:prstGeom prst="bentConnector3">
                          <a:avLst>
                            <a:gd name="adj1" fmla="val -92500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Соединительная линия уступом 26" stroked="t" style="position:absolute;margin-left:420.5pt;margin-top:200.3pt;width:30.2pt;height:104.45pt;flip:xy;v-text-anchor:middle" wp14:anchorId="466520FF" type="shapetype_34">
                <w10:wrap type="none"/>
                <v:fill o:detectmouseclick="t" on="false"/>
                <v:stroke color="black" weight="9360" endarrow="block" endarrowwidth="medium" endarrowlength="medium" joinstyle="round" endcap="flat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32" wp14:anchorId="27C13E24">
                <wp:simplePos x="0" y="0"/>
                <wp:positionH relativeFrom="column">
                  <wp:posOffset>5788025</wp:posOffset>
                </wp:positionH>
                <wp:positionV relativeFrom="paragraph">
                  <wp:posOffset>206375</wp:posOffset>
                </wp:positionV>
                <wp:extent cx="165735" cy="1184910"/>
                <wp:effectExtent l="0" t="0" r="66675" b="57150"/>
                <wp:wrapNone/>
                <wp:docPr id="39" name="Соединительная линия уступом 2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240" cy="1184400"/>
                        </a:xfrm>
                        <a:prstGeom prst="bentConnector3">
                          <a:avLst>
                            <a:gd name="adj1" fmla="val 100000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Соединительная линия уступом 29" stroked="t" style="position:absolute;margin-left:455.75pt;margin-top:16.25pt;width:12.95pt;height:93.2pt;v-text-anchor:middle" wp14:anchorId="27C13E24" type="shapetype_34">
                <w10:wrap type="none"/>
                <v:fill o:detectmouseclick="t" on="false"/>
                <v:stroke color="black" weight="9360" endarrow="block" endarrowwidth="medium" endarrowlength="medium" joinstyle="round" endcap="flat"/>
              </v:shape>
            </w:pict>
          </mc:Fallback>
        </mc:AlternateContent>
      </w:r>
      <w:r>
        <w:rPr/>
        <w:t xml:space="preserve">                                                                                          </w:t>
      </w:r>
      <w:r>
        <w:rPr/>
        <w:t>Да                                                                     Нет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24" wp14:anchorId="3A2D3C1E">
                <wp:simplePos x="0" y="0"/>
                <wp:positionH relativeFrom="column">
                  <wp:posOffset>2206625</wp:posOffset>
                </wp:positionH>
                <wp:positionV relativeFrom="paragraph">
                  <wp:posOffset>33020</wp:posOffset>
                </wp:positionV>
                <wp:extent cx="4445" cy="422910"/>
                <wp:effectExtent l="76200" t="0" r="57150" b="57150"/>
                <wp:wrapNone/>
                <wp:docPr id="40" name="Прямая со стрелкой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0" cy="42228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21" wp14:anchorId="56FD9EDF">
                <wp:simplePos x="0" y="0"/>
                <wp:positionH relativeFrom="column">
                  <wp:posOffset>1577975</wp:posOffset>
                </wp:positionH>
                <wp:positionV relativeFrom="paragraph">
                  <wp:posOffset>226060</wp:posOffset>
                </wp:positionV>
                <wp:extent cx="1242060" cy="270510"/>
                <wp:effectExtent l="0" t="0" r="19050" b="19050"/>
                <wp:wrapNone/>
                <wp:docPr id="41" name="Надпись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1280" cy="27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7"/>
                              <w:spacing w:before="0" w:after="20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Реабилитация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18" fillcolor="white" stroked="t" style="position:absolute;margin-left:124.25pt;margin-top:17.8pt;width:97.7pt;height:21.2pt;v-text-anchor:top" wp14:anchorId="56FD9EDF">
                <w10:wrap type="none"/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Style17"/>
                        <w:spacing w:before="0" w:after="20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Реабилитация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23" wp14:anchorId="45DB3EDE">
                <wp:simplePos x="0" y="0"/>
                <wp:positionH relativeFrom="column">
                  <wp:posOffset>1016000</wp:posOffset>
                </wp:positionH>
                <wp:positionV relativeFrom="paragraph">
                  <wp:posOffset>316865</wp:posOffset>
                </wp:positionV>
                <wp:extent cx="2366010" cy="1261110"/>
                <wp:effectExtent l="0" t="0" r="19050" b="19050"/>
                <wp:wrapNone/>
                <wp:docPr id="43" name="Ромб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5200" cy="1260360"/>
                        </a:xfrm>
                        <a:prstGeom prst="diamond">
                          <a:avLst/>
                        </a:prstGeom>
                        <a:ln w="3175"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7"/>
                              <w:spacing w:before="0" w:after="20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Достигнут ли положительный результат?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Ромб 20" fillcolor="white" stroked="t" style="position:absolute;margin-left:80pt;margin-top:24.95pt;width:186.2pt;height:99.2pt;v-text-anchor:middle" wp14:anchorId="45DB3EDE" type="shapetype_4">
                <w10:wrap type="none"/>
                <v:fill o:detectmouseclick="t" type="solid" color2="black"/>
                <v:stroke color="black" weight="3240" joinstyle="round" endcap="flat"/>
                <v:textbox>
                  <w:txbxContent>
                    <w:p>
                      <w:pPr>
                        <w:pStyle w:val="Style17"/>
                        <w:spacing w:before="0" w:after="20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Достигнут ли положительный результат?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"/>
        <w:spacing w:lineRule="auto" w:line="600" w:before="240" w:after="0"/>
        <w:rPr/>
      </w:pPr>
      <w:r>
        <w:rPr/>
      </w:r>
    </w:p>
    <w:p>
      <w:pPr>
        <w:pStyle w:val="Normal"/>
        <w:ind w:firstLine="720"/>
        <w:rPr/>
      </w:pPr>
      <w:r>
        <mc:AlternateContent>
          <mc:Choice Requires="wps">
            <w:drawing>
              <wp:anchor behindDoc="0" distT="0" distB="0" distL="0" distR="0" simplePos="0" locked="0" layoutInCell="0" allowOverlap="1" relativeHeight="25" wp14:anchorId="4B2CE1DC">
                <wp:simplePos x="0" y="0"/>
                <wp:positionH relativeFrom="column">
                  <wp:posOffset>3482975</wp:posOffset>
                </wp:positionH>
                <wp:positionV relativeFrom="paragraph">
                  <wp:posOffset>197485</wp:posOffset>
                </wp:positionV>
                <wp:extent cx="461010" cy="4445"/>
                <wp:effectExtent l="0" t="76200" r="19050" b="95250"/>
                <wp:wrapNone/>
                <wp:docPr id="45" name="Прямая со стрелкой 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0440" cy="39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/>
        <w:t>Нет                                                                                   Да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mc:AlternateContent>
          <mc:Choice Requires="wps">
            <w:drawing>
              <wp:anchor behindDoc="0" distT="0" distB="0" distL="0" distR="0" simplePos="0" locked="0" layoutInCell="0" allowOverlap="1" relativeHeight="28" wp14:anchorId="4D1238D3">
                <wp:simplePos x="0" y="0"/>
                <wp:positionH relativeFrom="column">
                  <wp:posOffset>3549650</wp:posOffset>
                </wp:positionH>
                <wp:positionV relativeFrom="paragraph">
                  <wp:posOffset>14605</wp:posOffset>
                </wp:positionV>
                <wp:extent cx="2137410" cy="1194435"/>
                <wp:effectExtent l="0" t="0" r="19050" b="28575"/>
                <wp:wrapNone/>
                <wp:docPr id="46" name="Ромб 2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6600" cy="1193760"/>
                        </a:xfrm>
                        <a:prstGeom prst="diamond">
                          <a:avLst/>
                        </a:prstGeom>
                        <a:ln w="3175"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7"/>
                              <w:spacing w:before="0" w:after="20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Есть ли рецидив заболевания?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Ромб 25" fillcolor="white" stroked="t" style="position:absolute;margin-left:279.5pt;margin-top:1.15pt;width:168.2pt;height:93.95pt;v-text-anchor:middle" wp14:anchorId="4D1238D3" type="shapetype_4">
                <w10:wrap type="none"/>
                <v:fill o:detectmouseclick="t" type="solid" color2="black"/>
                <v:stroke color="black" weight="3240" joinstyle="round" endcap="flat"/>
                <v:textbox>
                  <w:txbxContent>
                    <w:p>
                      <w:pPr>
                        <w:pStyle w:val="Style17"/>
                        <w:spacing w:before="0" w:after="20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Есть ли рецидив заболевания?</w:t>
                      </w:r>
                    </w:p>
                  </w:txbxContent>
                </v:textbox>
              </v:shape>
            </w:pict>
          </mc:Fallback>
        </mc:AlternateContent>
      </w:r>
      <w:r>
        <w:rPr/>
        <w:t xml:space="preserve">  </w:t>
      </w:r>
    </w:p>
    <w:p>
      <w:pPr>
        <w:pStyle w:val="Normal"/>
        <w:spacing w:lineRule="auto" w:line="720" w:before="240" w:after="200"/>
        <w:jc w:val="center"/>
        <w:rPr/>
      </w:pPr>
      <w:r>
        <w:rPr/>
        <w:t xml:space="preserve">                                                                                           </w:t>
      </w:r>
      <w:r>
        <w:rPr/>
        <w:t xml:space="preserve">Да                                                                 Нет </w:t>
      </w:r>
    </w:p>
    <w:p>
      <w:pPr>
        <w:pStyle w:val="Normal"/>
        <w:keepLines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1"/>
        <w:keepLines/>
        <w:rPr/>
      </w:pPr>
      <w:bookmarkStart w:id="106" w:name="__RefHeading___Toc5059_2511029755"/>
      <w:bookmarkStart w:id="107" w:name="_Toc49964355"/>
      <w:bookmarkStart w:id="108" w:name="_zinn33b4nri"/>
      <w:bookmarkEnd w:id="106"/>
      <w:bookmarkEnd w:id="108"/>
      <w:r>
        <w:rPr/>
        <w:t>Приложение В Информация для пациент</w:t>
      </w:r>
      <w:bookmarkEnd w:id="107"/>
      <w:r>
        <w:rPr/>
        <w:t>а</w:t>
      </w:r>
    </w:p>
    <w:p>
      <w:pPr>
        <w:pStyle w:val="Normal"/>
        <w:numPr>
          <w:ilvl w:val="0"/>
          <w:numId w:val="15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необходимо предупредить родителей ребенка о обязательности соблюдения рекомендаций врача и сроков обращения, а также о  необходимости срочного обращения к врачу при наличии признаков ухудшения общего состояния ребенка, симптомов появления, распространения воспалительного процесса и отсутствии положительного результата после оказанной стоматологической помощи;</w:t>
      </w:r>
    </w:p>
    <w:p>
      <w:pPr>
        <w:pStyle w:val="Normal"/>
        <w:numPr>
          <w:ilvl w:val="0"/>
          <w:numId w:val="15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после оказания помощи детям рекомендуется ограничение жевания, употребления жесткой пищи для снижения риска травматизации слизистой оболочки полости рта;  </w:t>
      </w:r>
    </w:p>
    <w:p>
      <w:pPr>
        <w:pStyle w:val="Normal"/>
        <w:numPr>
          <w:ilvl w:val="0"/>
          <w:numId w:val="15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требования к диетическим назначениям и ограничениям;</w:t>
      </w:r>
    </w:p>
    <w:p>
      <w:pPr>
        <w:pStyle w:val="Normal"/>
        <w:numPr>
          <w:ilvl w:val="0"/>
          <w:numId w:val="15"/>
        </w:numPr>
        <w:spacing w:lineRule="auto" w:line="360" w:before="0" w:after="1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 первые сутки после операции рекомендовано соблюдать охранительный режим. </w:t>
      </w:r>
    </w:p>
    <w:p>
      <w:pPr>
        <w:pStyle w:val="Normal"/>
        <w:spacing w:lineRule="auto" w:line="360" w:before="280" w:after="280"/>
        <w:ind w:left="720" w:hanging="0"/>
        <w:jc w:val="both"/>
        <w:rPr/>
      </w:pPr>
      <w:r>
        <w:rPr/>
      </w:r>
    </w:p>
    <w:sectPr>
      <w:headerReference w:type="first" r:id="rId2"/>
      <w:footerReference w:type="default" r:id="rId3"/>
      <w:footerReference w:type="first" r:id="rId4"/>
      <w:type w:val="nextPage"/>
      <w:pgSz w:w="11906" w:h="16838"/>
      <w:pgMar w:left="1700" w:right="860" w:header="708" w:top="708" w:footer="708" w:bottom="1248" w:gutter="0"/>
      <w:pgNumType w:start="1" w:fmt="decimal"/>
      <w:formProt w:val="false"/>
      <w:titlePg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01"/>
    <w:family w:val="roman"/>
    <w:pitch w:val="variable"/>
  </w:font>
  <w:font w:name="Wingdings">
    <w:charset w:val="02"/>
    <w:family w:val="auto"/>
    <w:pitch w:val="variable"/>
  </w:font>
  <w:font w:name="Wingdings 2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before="0" w:after="200"/>
      <w:jc w:val="center"/>
      <w:rPr>
        <w:rFonts w:eastAsia="Times New Roman"/>
      </w:rPr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19</w:t>
    </w:r>
    <w:r>
      <w:rPr/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before="0" w:after="20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widowControl/>
      <w:bidi w:val="0"/>
      <w:spacing w:lineRule="auto" w:line="276" w:before="0" w:after="200"/>
      <w:jc w:val="left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6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7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8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1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2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3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4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5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6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17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9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0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Times New Roman" w:hAnsi="Times New Roman" w:eastAsia="Calibri" w:cs="Times New Roman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qFormat/>
    <w:pPr>
      <w:keepNext w:val="true"/>
      <w:spacing w:lineRule="auto" w:line="360" w:before="240" w:after="0"/>
      <w:jc w:val="both"/>
      <w:outlineLvl w:val="0"/>
    </w:pPr>
    <w:rPr>
      <w:rFonts w:eastAsia="Times New Roman"/>
      <w:b/>
      <w:sz w:val="28"/>
      <w:szCs w:val="28"/>
    </w:rPr>
  </w:style>
  <w:style w:type="paragraph" w:styleId="2">
    <w:name w:val="Heading 2"/>
    <w:basedOn w:val="Normal"/>
    <w:next w:val="Normal"/>
    <w:qFormat/>
    <w:pPr>
      <w:spacing w:lineRule="auto" w:line="360" w:before="240" w:after="0"/>
      <w:ind w:firstLine="709"/>
      <w:jc w:val="both"/>
      <w:outlineLvl w:val="1"/>
    </w:pPr>
    <w:rPr>
      <w:rFonts w:eastAsia="Times New Roman"/>
      <w:b/>
      <w:sz w:val="24"/>
      <w:szCs w:val="24"/>
      <w:u w:val="single"/>
    </w:rPr>
  </w:style>
  <w:style w:type="paragraph" w:styleId="3">
    <w:name w:val="Heading 3"/>
    <w:basedOn w:val="Normal"/>
    <w:next w:val="Normal"/>
    <w:qFormat/>
    <w:pPr>
      <w:keepNext w:val="true"/>
      <w:keepLines/>
      <w:spacing w:before="280" w:after="80"/>
      <w:ind w:left="720" w:hanging="360"/>
      <w:outlineLvl w:val="2"/>
    </w:pPr>
    <w:rPr>
      <w:rFonts w:eastAsia="Times New Roman"/>
      <w:b/>
      <w:i/>
      <w:sz w:val="24"/>
      <w:szCs w:val="24"/>
    </w:rPr>
  </w:style>
  <w:style w:type="paragraph" w:styleId="4">
    <w:name w:val="Heading 4"/>
    <w:basedOn w:val="Normal"/>
    <w:next w:val="Normal"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qFormat/>
    <w:pPr>
      <w:keepNext w:val="true"/>
      <w:keepLines/>
      <w:spacing w:before="220" w:after="40"/>
      <w:outlineLvl w:val="4"/>
    </w:pPr>
    <w:rPr>
      <w:b/>
    </w:rPr>
  </w:style>
  <w:style w:type="paragraph" w:styleId="6">
    <w:name w:val="Heading 6"/>
    <w:basedOn w:val="Normal"/>
    <w:next w:val="Normal"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>
    <w:name w:val="Интернет-ссылка"/>
    <w:basedOn w:val="DefaultParagraphFont"/>
    <w:uiPriority w:val="99"/>
    <w:unhideWhenUsed/>
    <w:rsid w:val="00a0132f"/>
    <w:rPr>
      <w:color w:val="0000FF" w:themeColor="hyperlink"/>
      <w:u w:val="single"/>
    </w:rPr>
  </w:style>
  <w:style w:type="character" w:styleId="Style9">
    <w:name w:val="Ссылка указателя"/>
    <w:qFormat/>
    <w:rPr/>
  </w:style>
  <w:style w:type="paragraph" w:styleId="Style10">
    <w:name w:val="Заголовок"/>
    <w:basedOn w:val="Normal"/>
    <w:next w:val="Style11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1">
    <w:name w:val="Body Text"/>
    <w:basedOn w:val="Normal"/>
    <w:pPr>
      <w:spacing w:lineRule="auto" w:line="276" w:before="0" w:after="140"/>
    </w:pPr>
    <w:rPr/>
  </w:style>
  <w:style w:type="paragraph" w:styleId="Style12">
    <w:name w:val="List"/>
    <w:basedOn w:val="Style11"/>
    <w:pPr/>
    <w:rPr>
      <w:rFonts w:cs="Arial"/>
    </w:rPr>
  </w:style>
  <w:style w:type="paragraph" w:styleId="Style13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"/>
    </w:rPr>
  </w:style>
  <w:style w:type="paragraph" w:styleId="Style15">
    <w:name w:val="Title"/>
    <w:basedOn w:val="Normal"/>
    <w:next w:val="Normal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Style16">
    <w:name w:val="Subtitle"/>
    <w:basedOn w:val="Normal"/>
    <w:next w:val="Normal"/>
    <w:qFormat/>
    <w:pPr>
      <w:spacing w:lineRule="auto" w:line="360" w:before="0" w:after="0"/>
      <w:jc w:val="both"/>
    </w:pPr>
    <w:rPr>
      <w:rFonts w:eastAsia="Times New Roman"/>
      <w:i/>
      <w:sz w:val="24"/>
      <w:szCs w:val="24"/>
    </w:rPr>
  </w:style>
  <w:style w:type="paragraph" w:styleId="TOCHeading">
    <w:name w:val="TOC Heading"/>
    <w:basedOn w:val="1"/>
    <w:next w:val="Normal"/>
    <w:uiPriority w:val="39"/>
    <w:unhideWhenUsed/>
    <w:qFormat/>
    <w:rsid w:val="00a0132f"/>
    <w:pPr>
      <w:keepLines/>
      <w:spacing w:lineRule="auto" w:line="259"/>
      <w:jc w:val="left"/>
    </w:pPr>
    <w:rPr>
      <w:rFonts w:ascii="Calibri" w:hAnsi="Calibri" w:eastAsia="" w:cs="" w:asciiTheme="majorHAnsi" w:cstheme="majorBidi" w:eastAsiaTheme="majorEastAsia" w:hAnsiTheme="majorHAnsi"/>
      <w:b w:val="false"/>
      <w:color w:val="365F91" w:themeColor="accent1" w:themeShade="bf"/>
      <w:sz w:val="32"/>
      <w:szCs w:val="32"/>
    </w:rPr>
  </w:style>
  <w:style w:type="paragraph" w:styleId="11">
    <w:name w:val="TOC 1"/>
    <w:basedOn w:val="Normal"/>
    <w:next w:val="Normal"/>
    <w:autoRedefine/>
    <w:uiPriority w:val="39"/>
    <w:unhideWhenUsed/>
    <w:rsid w:val="00a0132f"/>
    <w:pPr>
      <w:spacing w:before="0" w:after="100"/>
    </w:pPr>
    <w:rPr/>
  </w:style>
  <w:style w:type="paragraph" w:styleId="21">
    <w:name w:val="TOC 2"/>
    <w:basedOn w:val="Normal"/>
    <w:next w:val="Normal"/>
    <w:autoRedefine/>
    <w:uiPriority w:val="39"/>
    <w:unhideWhenUsed/>
    <w:rsid w:val="00a0132f"/>
    <w:pPr>
      <w:spacing w:before="0" w:after="100"/>
      <w:ind w:left="220" w:hanging="0"/>
    </w:pPr>
    <w:rPr/>
  </w:style>
  <w:style w:type="paragraph" w:styleId="31">
    <w:name w:val="TOC 3"/>
    <w:basedOn w:val="Normal"/>
    <w:next w:val="Normal"/>
    <w:autoRedefine/>
    <w:uiPriority w:val="39"/>
    <w:unhideWhenUsed/>
    <w:rsid w:val="00a0132f"/>
    <w:pPr>
      <w:spacing w:before="0" w:after="100"/>
      <w:ind w:left="440" w:hanging="0"/>
    </w:pPr>
    <w:rPr/>
  </w:style>
  <w:style w:type="paragraph" w:styleId="Style17">
    <w:name w:val="Содержимое врезки"/>
    <w:basedOn w:val="Normal"/>
    <w:qFormat/>
    <w:pPr/>
    <w:rPr/>
  </w:style>
  <w:style w:type="paragraph" w:styleId="Style18">
    <w:name w:val="Верхний и нижний колонтитулы"/>
    <w:basedOn w:val="Normal"/>
    <w:qFormat/>
    <w:pPr/>
    <w:rPr/>
  </w:style>
  <w:style w:type="paragraph" w:styleId="Style19">
    <w:name w:val="Footer"/>
    <w:basedOn w:val="Style18"/>
    <w:pPr/>
    <w:rPr/>
  </w:style>
  <w:style w:type="paragraph" w:styleId="Style20">
    <w:name w:val="Header"/>
    <w:basedOn w:val="Style18"/>
    <w:pPr/>
    <w:rPr/>
  </w:style>
  <w:style w:type="paragraph" w:styleId="Style21">
    <w:name w:val="Содержимое таблицы"/>
    <w:basedOn w:val="Normal"/>
    <w:qFormat/>
    <w:pPr>
      <w:suppressLineNumbers/>
    </w:pPr>
    <w:rPr/>
  </w:style>
  <w:style w:type="paragraph" w:styleId="Style22">
    <w:name w:val="Index Heading"/>
    <w:basedOn w:val="Style10"/>
    <w:pPr>
      <w:suppressLineNumbers/>
      <w:ind w:left="0" w:hanging="0"/>
    </w:pPr>
    <w:rPr>
      <w:b/>
      <w:bCs/>
      <w:sz w:val="32"/>
      <w:szCs w:val="32"/>
    </w:rPr>
  </w:style>
  <w:style w:type="paragraph" w:styleId="TOAHeading">
    <w:name w:val="TOA Heading"/>
    <w:basedOn w:val="Style22"/>
    <w:qFormat/>
    <w:pPr>
      <w:suppressLineNumbers/>
      <w:ind w:left="0" w:hanging="0"/>
    </w:pPr>
    <w:rPr>
      <w:b/>
      <w:bCs/>
      <w:sz w:val="32"/>
      <w:szCs w:val="32"/>
    </w:rPr>
  </w:style>
  <w:style w:type="paragraph" w:styleId="Style23">
    <w:name w:val="TOA Heading"/>
    <w:basedOn w:val="Style22"/>
    <w:pPr>
      <w:suppressLineNumbers/>
      <w:ind w:left="0" w:hanging="0"/>
    </w:pPr>
    <w:rPr>
      <w:b/>
      <w:bCs/>
      <w:sz w:val="32"/>
      <w:szCs w:val="32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6FF71A-80D5-45E0-974B-CDD086151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Application>LibreOffice/7.0.1.2$Windows_X86_64 LibreOffice_project/7cbcfc562f6eb6708b5ff7d7397325de9e764452</Application>
  <Pages>19</Pages>
  <Words>2995</Words>
  <Characters>21224</Characters>
  <CharactersWithSpaces>24292</CharactersWithSpaces>
  <Paragraphs>398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2020-07-06T06:26:00Z</dcterms:created>
  <dc:creator/>
  <dc:description/>
  <dc:language>ru-RU</dc:language>
  <cp:lastModifiedBy/>
  <dcterms:modified xsi:type="dcterms:W3CDTF">2020-11-15T20:37:43Z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